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EEC9" w14:textId="46CD2B96" w:rsidR="00324908" w:rsidRPr="00324908" w:rsidRDefault="00324908" w:rsidP="00324908">
      <w:pPr>
        <w:jc w:val="center"/>
        <w:rPr>
          <w:rFonts w:ascii="Times New Roman" w:hAnsi="Times New Roman" w:cs="Times New Roman"/>
          <w:sz w:val="32"/>
          <w:szCs w:val="32"/>
        </w:rPr>
      </w:pPr>
      <w:r w:rsidRPr="00324908">
        <w:rPr>
          <w:rFonts w:ascii="Times New Roman" w:hAnsi="Times New Roman" w:cs="Times New Roman"/>
          <w:sz w:val="32"/>
          <w:szCs w:val="32"/>
        </w:rPr>
        <w:t>Tabella 1 - Gare d’appalto, con particolare riguardo ai rischi corruttivi e alle misure.</w:t>
      </w:r>
    </w:p>
    <w:tbl>
      <w:tblPr>
        <w:tblStyle w:val="TableNormal"/>
        <w:tblW w:w="1474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022"/>
        <w:gridCol w:w="7966"/>
        <w:gridCol w:w="540"/>
      </w:tblGrid>
      <w:tr w:rsidR="004D48D2" w:rsidRPr="003D4EB3" w14:paraId="5E9135C6" w14:textId="77777777" w:rsidTr="005406E9">
        <w:trPr>
          <w:trHeight w:val="12398"/>
        </w:trPr>
        <w:tc>
          <w:tcPr>
            <w:tcW w:w="3212" w:type="dxa"/>
            <w:shd w:val="clear" w:color="auto" w:fill="2D74B5"/>
          </w:tcPr>
          <w:p w14:paraId="692C70F6" w14:textId="77777777" w:rsidR="004D48D2" w:rsidRPr="003D4EB3" w:rsidRDefault="004D48D2" w:rsidP="008911A2">
            <w:pPr>
              <w:widowControl/>
              <w:autoSpaceDE/>
              <w:autoSpaceDN/>
              <w:rPr>
                <w:b/>
                <w:lang w:val="it-IT"/>
              </w:rPr>
            </w:pPr>
          </w:p>
          <w:p w14:paraId="68F6760A" w14:textId="77777777" w:rsidR="004D48D2" w:rsidRPr="003D4EB3" w:rsidRDefault="004D48D2" w:rsidP="008911A2">
            <w:pPr>
              <w:widowControl/>
              <w:autoSpaceDE/>
              <w:autoSpaceDN/>
              <w:rPr>
                <w:lang w:val="it-IT"/>
              </w:rPr>
            </w:pPr>
            <w:r w:rsidRPr="003D4EB3">
              <w:rPr>
                <w:lang w:val="it-IT"/>
              </w:rPr>
              <w:t>Art. 50, d.lgs. 36/2023 Appalti sotto soglia comunitaria</w:t>
            </w:r>
          </w:p>
          <w:p w14:paraId="521B5452" w14:textId="77777777" w:rsidR="004D48D2" w:rsidRPr="003D4EB3" w:rsidRDefault="004D48D2" w:rsidP="008911A2">
            <w:pPr>
              <w:widowControl/>
              <w:autoSpaceDE/>
              <w:autoSpaceDN/>
              <w:rPr>
                <w:b/>
                <w:lang w:val="it-IT"/>
              </w:rPr>
            </w:pPr>
          </w:p>
          <w:p w14:paraId="7D7E9CD6" w14:textId="77777777" w:rsidR="004D48D2" w:rsidRPr="003D4EB3" w:rsidRDefault="004D48D2" w:rsidP="008911A2">
            <w:pPr>
              <w:widowControl/>
              <w:autoSpaceDE/>
              <w:autoSpaceDN/>
              <w:rPr>
                <w:b/>
                <w:lang w:val="it-IT"/>
              </w:rPr>
            </w:pPr>
          </w:p>
          <w:p w14:paraId="7D53AFC8" w14:textId="77777777" w:rsidR="004D48D2" w:rsidRPr="003D4EB3" w:rsidRDefault="004D48D2" w:rsidP="008911A2">
            <w:pPr>
              <w:widowControl/>
              <w:autoSpaceDE/>
              <w:autoSpaceDN/>
              <w:rPr>
                <w:lang w:val="it-IT"/>
              </w:rPr>
            </w:pPr>
            <w:r w:rsidRPr="003D4EB3">
              <w:rPr>
                <w:lang w:val="it-IT"/>
              </w:rPr>
              <w:t>In particolare fattispecie di cui al comma 1:</w:t>
            </w:r>
          </w:p>
          <w:p w14:paraId="0E8B772F" w14:textId="77777777" w:rsidR="004D48D2" w:rsidRPr="003D4EB3" w:rsidRDefault="004D48D2" w:rsidP="008911A2">
            <w:pPr>
              <w:widowControl/>
              <w:autoSpaceDE/>
              <w:autoSpaceDN/>
              <w:rPr>
                <w:lang w:val="it-IT"/>
              </w:rPr>
            </w:pPr>
            <w:r w:rsidRPr="003D4EB3">
              <w:rPr>
                <w:lang w:val="it-IT"/>
              </w:rPr>
              <w:t>per gli appalti di servizi e forniture di importo fino a 140 mila € e lavori di importo inferiore 150 mila € affidamento diretto, anche senza consultazione di più OO.EE.</w:t>
            </w:r>
          </w:p>
        </w:tc>
        <w:tc>
          <w:tcPr>
            <w:tcW w:w="3022" w:type="dxa"/>
          </w:tcPr>
          <w:p w14:paraId="1767EC5E" w14:textId="77777777" w:rsidR="004D48D2" w:rsidRPr="003D4EB3" w:rsidRDefault="004D48D2" w:rsidP="008911A2">
            <w:pPr>
              <w:widowControl/>
              <w:autoSpaceDE/>
              <w:autoSpaceDN/>
              <w:rPr>
                <w:lang w:val="it-IT"/>
              </w:rPr>
            </w:pPr>
            <w:r w:rsidRPr="003D4EB3">
              <w:rPr>
                <w:lang w:val="it-IT"/>
              </w:rPr>
              <w:t>Possibile incremento del rischio di frazionamento artificioso oppure che il calcolo del valore stimato dell’appalto sia alterato in modo tale da non superare il valore previsto per l’affidamento diretto.</w:t>
            </w:r>
          </w:p>
          <w:p w14:paraId="08E37EA9" w14:textId="77777777" w:rsidR="004D48D2" w:rsidRPr="003D4EB3" w:rsidRDefault="004D48D2" w:rsidP="008911A2">
            <w:pPr>
              <w:widowControl/>
              <w:autoSpaceDE/>
              <w:autoSpaceDN/>
              <w:rPr>
                <w:b/>
                <w:lang w:val="it-IT"/>
              </w:rPr>
            </w:pPr>
          </w:p>
          <w:p w14:paraId="1A7EC8D4" w14:textId="77777777" w:rsidR="004D48D2" w:rsidRPr="003D4EB3" w:rsidRDefault="004D48D2" w:rsidP="008911A2">
            <w:pPr>
              <w:widowControl/>
              <w:autoSpaceDE/>
              <w:autoSpaceDN/>
              <w:rPr>
                <w:b/>
                <w:lang w:val="it-IT"/>
              </w:rPr>
            </w:pPr>
          </w:p>
          <w:p w14:paraId="0CEB1FAC" w14:textId="77777777" w:rsidR="004D48D2" w:rsidRPr="003D4EB3" w:rsidRDefault="004D48D2" w:rsidP="008911A2">
            <w:pPr>
              <w:widowControl/>
              <w:autoSpaceDE/>
              <w:autoSpaceDN/>
              <w:rPr>
                <w:b/>
                <w:lang w:val="it-IT"/>
              </w:rPr>
            </w:pPr>
          </w:p>
          <w:p w14:paraId="332AB4DE" w14:textId="77777777" w:rsidR="004D48D2" w:rsidRPr="003D4EB3" w:rsidRDefault="004D48D2" w:rsidP="008911A2">
            <w:pPr>
              <w:widowControl/>
              <w:autoSpaceDE/>
              <w:autoSpaceDN/>
              <w:rPr>
                <w:b/>
                <w:lang w:val="it-IT"/>
              </w:rPr>
            </w:pPr>
          </w:p>
          <w:p w14:paraId="08698903" w14:textId="77777777" w:rsidR="004D48D2" w:rsidRPr="003D4EB3" w:rsidRDefault="004D48D2" w:rsidP="008911A2">
            <w:pPr>
              <w:widowControl/>
              <w:autoSpaceDE/>
              <w:autoSpaceDN/>
              <w:rPr>
                <w:b/>
                <w:lang w:val="it-IT"/>
              </w:rPr>
            </w:pPr>
          </w:p>
          <w:p w14:paraId="53B9DBD4" w14:textId="77777777" w:rsidR="004D48D2" w:rsidRPr="003D4EB3" w:rsidRDefault="004D48D2" w:rsidP="008911A2">
            <w:pPr>
              <w:widowControl/>
              <w:autoSpaceDE/>
              <w:autoSpaceDN/>
              <w:rPr>
                <w:b/>
                <w:lang w:val="it-IT"/>
              </w:rPr>
            </w:pPr>
          </w:p>
          <w:p w14:paraId="1C334682" w14:textId="77777777" w:rsidR="004D48D2" w:rsidRPr="003D4EB3" w:rsidRDefault="004D48D2" w:rsidP="008911A2">
            <w:pPr>
              <w:widowControl/>
              <w:autoSpaceDE/>
              <w:autoSpaceDN/>
              <w:rPr>
                <w:b/>
                <w:lang w:val="it-IT"/>
              </w:rPr>
            </w:pPr>
          </w:p>
          <w:p w14:paraId="7624B1AE" w14:textId="77777777" w:rsidR="004D48D2" w:rsidRPr="003D4EB3" w:rsidRDefault="004D48D2" w:rsidP="008911A2">
            <w:pPr>
              <w:widowControl/>
              <w:autoSpaceDE/>
              <w:autoSpaceDN/>
              <w:rPr>
                <w:b/>
                <w:lang w:val="it-IT"/>
              </w:rPr>
            </w:pPr>
          </w:p>
          <w:p w14:paraId="78C152D9" w14:textId="77777777" w:rsidR="004D48D2" w:rsidRPr="003D4EB3" w:rsidRDefault="004D48D2" w:rsidP="008911A2">
            <w:pPr>
              <w:widowControl/>
              <w:autoSpaceDE/>
              <w:autoSpaceDN/>
              <w:rPr>
                <w:b/>
                <w:lang w:val="it-IT"/>
              </w:rPr>
            </w:pPr>
          </w:p>
          <w:p w14:paraId="2B944BBD" w14:textId="77777777" w:rsidR="004D48D2" w:rsidRPr="003D4EB3" w:rsidRDefault="004D48D2" w:rsidP="008911A2">
            <w:pPr>
              <w:widowControl/>
              <w:autoSpaceDE/>
              <w:autoSpaceDN/>
              <w:rPr>
                <w:b/>
                <w:lang w:val="it-IT"/>
              </w:rPr>
            </w:pPr>
          </w:p>
          <w:p w14:paraId="732A63B4" w14:textId="77777777" w:rsidR="004D48D2" w:rsidRPr="003D4EB3" w:rsidRDefault="004D48D2" w:rsidP="008911A2">
            <w:pPr>
              <w:widowControl/>
              <w:autoSpaceDE/>
              <w:autoSpaceDN/>
              <w:rPr>
                <w:b/>
                <w:lang w:val="it-IT"/>
              </w:rPr>
            </w:pPr>
          </w:p>
          <w:p w14:paraId="3C3FEC9F" w14:textId="77777777" w:rsidR="004D48D2" w:rsidRPr="003D4EB3" w:rsidRDefault="004D48D2" w:rsidP="008911A2">
            <w:pPr>
              <w:widowControl/>
              <w:autoSpaceDE/>
              <w:autoSpaceDN/>
              <w:rPr>
                <w:b/>
                <w:lang w:val="it-IT"/>
              </w:rPr>
            </w:pPr>
          </w:p>
          <w:p w14:paraId="7B656FE4" w14:textId="77777777" w:rsidR="004D48D2" w:rsidRPr="003D4EB3" w:rsidRDefault="004D48D2" w:rsidP="008911A2">
            <w:pPr>
              <w:widowControl/>
              <w:autoSpaceDE/>
              <w:autoSpaceDN/>
              <w:rPr>
                <w:b/>
                <w:lang w:val="it-IT"/>
              </w:rPr>
            </w:pPr>
          </w:p>
          <w:p w14:paraId="7D827FC0" w14:textId="77777777" w:rsidR="004D48D2" w:rsidRPr="003D4EB3" w:rsidRDefault="004D48D2" w:rsidP="008911A2">
            <w:pPr>
              <w:widowControl/>
              <w:autoSpaceDE/>
              <w:autoSpaceDN/>
              <w:rPr>
                <w:b/>
                <w:lang w:val="it-IT"/>
              </w:rPr>
            </w:pPr>
          </w:p>
          <w:p w14:paraId="126BE7C2" w14:textId="77777777" w:rsidR="004D48D2" w:rsidRPr="003D4EB3" w:rsidRDefault="004D48D2" w:rsidP="008911A2">
            <w:pPr>
              <w:widowControl/>
              <w:autoSpaceDE/>
              <w:autoSpaceDN/>
              <w:rPr>
                <w:b/>
                <w:lang w:val="it-IT"/>
              </w:rPr>
            </w:pPr>
          </w:p>
          <w:p w14:paraId="50A6AC75" w14:textId="77777777" w:rsidR="004D48D2" w:rsidRPr="003D4EB3" w:rsidRDefault="004D48D2" w:rsidP="008911A2">
            <w:pPr>
              <w:widowControl/>
              <w:autoSpaceDE/>
              <w:autoSpaceDN/>
              <w:rPr>
                <w:b/>
                <w:lang w:val="it-IT"/>
              </w:rPr>
            </w:pPr>
          </w:p>
          <w:p w14:paraId="2532DA13" w14:textId="77777777" w:rsidR="004D48D2" w:rsidRPr="003D4EB3" w:rsidRDefault="004D48D2" w:rsidP="008911A2">
            <w:pPr>
              <w:widowControl/>
              <w:autoSpaceDE/>
              <w:autoSpaceDN/>
              <w:rPr>
                <w:b/>
                <w:lang w:val="it-IT"/>
              </w:rPr>
            </w:pPr>
          </w:p>
          <w:p w14:paraId="2AE4CF04" w14:textId="77777777" w:rsidR="004D48D2" w:rsidRPr="003D4EB3" w:rsidRDefault="004D48D2" w:rsidP="008911A2">
            <w:pPr>
              <w:widowControl/>
              <w:autoSpaceDE/>
              <w:autoSpaceDN/>
              <w:rPr>
                <w:lang w:val="it-IT"/>
              </w:rPr>
            </w:pPr>
            <w:r w:rsidRPr="003D4EB3">
              <w:rPr>
                <w:lang w:val="it-IT"/>
              </w:rPr>
              <w:t xml:space="preserve">Possibili affidamenti ricorrenti al medesimo operatore economico della stessa tipologia di </w:t>
            </w:r>
            <w:r w:rsidRPr="003D4EB3">
              <w:rPr>
                <w:i/>
                <w:lang w:val="it-IT"/>
              </w:rPr>
              <w:t xml:space="preserve">Common procurement </w:t>
            </w:r>
            <w:proofErr w:type="spellStart"/>
            <w:r w:rsidRPr="003D4EB3">
              <w:rPr>
                <w:i/>
                <w:lang w:val="it-IT"/>
              </w:rPr>
              <w:t>vocabulary</w:t>
            </w:r>
            <w:proofErr w:type="spellEnd"/>
            <w:r w:rsidRPr="003D4EB3">
              <w:rPr>
                <w:i/>
                <w:lang w:val="it-IT"/>
              </w:rPr>
              <w:t xml:space="preserve"> </w:t>
            </w:r>
            <w:r w:rsidRPr="003D4EB3">
              <w:rPr>
                <w:lang w:val="it-IT"/>
              </w:rPr>
              <w:t>(CPV), quando, in particolare, la somma di tali affidamenti superi la soglia di 140 mila euro.</w:t>
            </w:r>
          </w:p>
        </w:tc>
        <w:tc>
          <w:tcPr>
            <w:tcW w:w="8506" w:type="dxa"/>
            <w:gridSpan w:val="2"/>
          </w:tcPr>
          <w:p w14:paraId="26E68434" w14:textId="77777777" w:rsidR="004D48D2" w:rsidRPr="003D4EB3" w:rsidRDefault="004D48D2" w:rsidP="008911A2">
            <w:pPr>
              <w:widowControl/>
              <w:autoSpaceDE/>
              <w:autoSpaceDN/>
              <w:rPr>
                <w:lang w:val="it-IT"/>
              </w:rPr>
            </w:pPr>
            <w:r w:rsidRPr="003D4EB3">
              <w:rPr>
                <w:lang w:val="it-IT"/>
              </w:rPr>
              <w:t>analisi di tutti gli affidamenti il cui importo è appena inferiore alla soglia minima a partire dalla quale non si potrebbe</w:t>
            </w:r>
            <w:r w:rsidRPr="003D4EB3">
              <w:rPr>
                <w:lang w:val="it-IT"/>
              </w:rPr>
              <w:tab/>
              <w:t>più</w:t>
            </w:r>
            <w:r w:rsidRPr="003D4EB3">
              <w:rPr>
                <w:lang w:val="it-IT"/>
              </w:rPr>
              <w:tab/>
              <w:t xml:space="preserve">ricorrere all’affidamento diretto. </w:t>
            </w:r>
          </w:p>
          <w:p w14:paraId="746A77C2" w14:textId="77777777" w:rsidR="004D48D2" w:rsidRPr="003D4EB3" w:rsidRDefault="004D48D2" w:rsidP="008911A2">
            <w:pPr>
              <w:widowControl/>
              <w:autoSpaceDE/>
              <w:autoSpaceDN/>
              <w:rPr>
                <w:lang w:val="it-IT"/>
              </w:rPr>
            </w:pPr>
            <w:r w:rsidRPr="003D4EB3">
              <w:rPr>
                <w:lang w:val="it-IT"/>
              </w:rPr>
              <w:t>analisi degli operatori economici per verificare quelli che in un determinato arco temporale risultano come gli affidatari più ricorrenti;</w:t>
            </w:r>
          </w:p>
          <w:p w14:paraId="33814883" w14:textId="77777777" w:rsidR="004D48D2" w:rsidRPr="003D4EB3" w:rsidRDefault="004D48D2" w:rsidP="008911A2">
            <w:pPr>
              <w:widowControl/>
              <w:autoSpaceDE/>
              <w:autoSpaceDN/>
              <w:rPr>
                <w:lang w:val="it-IT"/>
              </w:rPr>
            </w:pPr>
            <w:r w:rsidRPr="003D4EB3">
              <w:rPr>
                <w:lang w:val="it-IT"/>
              </w:rPr>
              <w:t>verifiche a campione sul 10% di quegli affidamenti di valore appena inferiore alla soglia minima per intercettare eventuali frazionamenti e/o affidamenti ripetuti allo stesso</w:t>
            </w:r>
          </w:p>
          <w:p w14:paraId="01C786F6" w14:textId="77777777" w:rsidR="004D48D2" w:rsidRPr="003D4EB3" w:rsidRDefault="004D48D2" w:rsidP="008911A2">
            <w:pPr>
              <w:widowControl/>
              <w:autoSpaceDE/>
              <w:autoSpaceDN/>
              <w:rPr>
                <w:lang w:val="it-IT"/>
              </w:rPr>
            </w:pPr>
          </w:p>
        </w:tc>
      </w:tr>
      <w:tr w:rsidR="004D48D2" w:rsidRPr="003D4EB3" w14:paraId="775D1EEE" w14:textId="77777777" w:rsidTr="005406E9">
        <w:trPr>
          <w:gridAfter w:val="1"/>
          <w:wAfter w:w="540" w:type="dxa"/>
          <w:trHeight w:val="2410"/>
        </w:trPr>
        <w:tc>
          <w:tcPr>
            <w:tcW w:w="3212" w:type="dxa"/>
            <w:vMerge w:val="restart"/>
            <w:tcBorders>
              <w:bottom w:val="single" w:sz="6" w:space="0" w:color="000000"/>
            </w:tcBorders>
            <w:shd w:val="clear" w:color="auto" w:fill="2D74B5"/>
          </w:tcPr>
          <w:p w14:paraId="4D2466B3" w14:textId="77777777" w:rsidR="004D48D2" w:rsidRPr="003D4EB3" w:rsidRDefault="004D48D2" w:rsidP="008911A2">
            <w:pPr>
              <w:widowControl/>
              <w:autoSpaceDE/>
              <w:autoSpaceDN/>
              <w:rPr>
                <w:lang w:val="it-IT"/>
              </w:rPr>
            </w:pPr>
          </w:p>
        </w:tc>
        <w:tc>
          <w:tcPr>
            <w:tcW w:w="3022" w:type="dxa"/>
            <w:tcBorders>
              <w:bottom w:val="nil"/>
            </w:tcBorders>
          </w:tcPr>
          <w:p w14:paraId="0884C596" w14:textId="77777777" w:rsidR="004D48D2" w:rsidRPr="003D4EB3" w:rsidRDefault="004D48D2" w:rsidP="008911A2">
            <w:pPr>
              <w:widowControl/>
              <w:autoSpaceDE/>
              <w:autoSpaceDN/>
              <w:rPr>
                <w:lang w:val="it-IT"/>
              </w:rPr>
            </w:pPr>
            <w:r w:rsidRPr="003D4EB3">
              <w:rPr>
                <w:lang w:val="it-IT"/>
              </w:rPr>
              <w:t>Condizionamento dell’intera procedura di affidamento ed esecuzione dell’appalto attraverso la nomina di un Responsabile Unico di Progetto (RUP) non in possesso di adeguati requisiti di professionalità ai sensi dell’art. 15, d.lgs. 36/2023 e allegato I.2 al medesimo decreto.</w:t>
            </w:r>
          </w:p>
        </w:tc>
        <w:tc>
          <w:tcPr>
            <w:tcW w:w="7966" w:type="dxa"/>
            <w:tcBorders>
              <w:bottom w:val="nil"/>
            </w:tcBorders>
          </w:tcPr>
          <w:p w14:paraId="689CB5D3" w14:textId="77777777" w:rsidR="004D48D2" w:rsidRPr="003D4EB3" w:rsidRDefault="004D48D2" w:rsidP="008911A2">
            <w:pPr>
              <w:widowControl/>
              <w:autoSpaceDE/>
              <w:autoSpaceDN/>
              <w:rPr>
                <w:lang w:val="it-IT"/>
              </w:rPr>
            </w:pPr>
            <w:r w:rsidRPr="003D4EB3">
              <w:rPr>
                <w:lang w:val="it-IT"/>
              </w:rPr>
              <w:t>pubblicazione del CV del RUP, se dirigenti o titolari di posizione organizzativa, ai sensi dell’art. 14 del d.lgs. n. 33/2013 per far conoscere chiaramente i requisiti di professionalità.</w:t>
            </w:r>
          </w:p>
          <w:p w14:paraId="5EF8518B" w14:textId="77777777" w:rsidR="004D48D2" w:rsidRPr="003D4EB3" w:rsidRDefault="004D48D2" w:rsidP="008911A2">
            <w:pPr>
              <w:widowControl/>
              <w:autoSpaceDE/>
              <w:autoSpaceDN/>
              <w:rPr>
                <w:lang w:val="it-IT"/>
              </w:rPr>
            </w:pPr>
            <w:r w:rsidRPr="003D4EB3">
              <w:rPr>
                <w:lang w:val="it-IT"/>
              </w:rPr>
              <w:t>Dichiarazione da parte del soggetto che ricopre l’incarico di RUP, o del personale di supporto, delle eventuali situazioni di conflitto di interessi ai sensi dell’art. 16, d.lgs. 36/2023.</w:t>
            </w:r>
          </w:p>
        </w:tc>
      </w:tr>
      <w:tr w:rsidR="004D48D2" w:rsidRPr="003D4EB3" w14:paraId="49CC6F67" w14:textId="77777777" w:rsidTr="005406E9">
        <w:trPr>
          <w:gridAfter w:val="1"/>
          <w:wAfter w:w="540" w:type="dxa"/>
          <w:trHeight w:val="1362"/>
        </w:trPr>
        <w:tc>
          <w:tcPr>
            <w:tcW w:w="3212" w:type="dxa"/>
            <w:vMerge/>
            <w:tcBorders>
              <w:top w:val="nil"/>
              <w:bottom w:val="single" w:sz="6" w:space="0" w:color="000000"/>
            </w:tcBorders>
            <w:shd w:val="clear" w:color="auto" w:fill="2D74B5"/>
          </w:tcPr>
          <w:p w14:paraId="4A787DB5" w14:textId="77777777" w:rsidR="004D48D2" w:rsidRPr="003D4EB3" w:rsidRDefault="004D48D2" w:rsidP="008911A2">
            <w:pPr>
              <w:widowControl/>
              <w:autoSpaceDE/>
              <w:autoSpaceDN/>
              <w:rPr>
                <w:lang w:val="it-IT"/>
              </w:rPr>
            </w:pPr>
          </w:p>
        </w:tc>
        <w:tc>
          <w:tcPr>
            <w:tcW w:w="3022" w:type="dxa"/>
            <w:tcBorders>
              <w:top w:val="nil"/>
            </w:tcBorders>
          </w:tcPr>
          <w:p w14:paraId="0B7B5C4D" w14:textId="77777777" w:rsidR="004D48D2" w:rsidRPr="003D4EB3" w:rsidRDefault="004D48D2" w:rsidP="008911A2">
            <w:pPr>
              <w:widowControl/>
              <w:autoSpaceDE/>
              <w:autoSpaceDN/>
              <w:rPr>
                <w:lang w:val="it-IT"/>
              </w:rPr>
            </w:pPr>
          </w:p>
        </w:tc>
        <w:tc>
          <w:tcPr>
            <w:tcW w:w="7966" w:type="dxa"/>
            <w:tcBorders>
              <w:top w:val="nil"/>
            </w:tcBorders>
          </w:tcPr>
          <w:p w14:paraId="1690BDC2" w14:textId="77777777" w:rsidR="004D48D2" w:rsidRPr="003D4EB3" w:rsidRDefault="004D48D2" w:rsidP="008911A2">
            <w:pPr>
              <w:widowControl/>
              <w:autoSpaceDE/>
              <w:autoSpaceDN/>
              <w:rPr>
                <w:lang w:val="it-IT"/>
              </w:rPr>
            </w:pPr>
            <w:r w:rsidRPr="003D4EB3">
              <w:rPr>
                <w:lang w:val="it-IT"/>
              </w:rPr>
              <w:t xml:space="preserve">Verifica da parte </w:t>
            </w:r>
            <w:proofErr w:type="spellStart"/>
            <w:r w:rsidRPr="003D4EB3">
              <w:rPr>
                <w:lang w:val="it-IT"/>
              </w:rPr>
              <w:t>deI</w:t>
            </w:r>
            <w:proofErr w:type="spellEnd"/>
            <w:r w:rsidRPr="003D4EB3">
              <w:rPr>
                <w:lang w:val="it-IT"/>
              </w:rPr>
              <w:t xml:space="preserve"> RPCT delle dichiarazioni rese </w:t>
            </w:r>
          </w:p>
        </w:tc>
      </w:tr>
      <w:tr w:rsidR="004D48D2" w:rsidRPr="003D4EB3" w14:paraId="01241C1E" w14:textId="77777777" w:rsidTr="005406E9">
        <w:trPr>
          <w:gridAfter w:val="1"/>
          <w:wAfter w:w="540" w:type="dxa"/>
          <w:trHeight w:val="705"/>
        </w:trPr>
        <w:tc>
          <w:tcPr>
            <w:tcW w:w="3212" w:type="dxa"/>
            <w:vMerge/>
            <w:tcBorders>
              <w:top w:val="nil"/>
              <w:bottom w:val="single" w:sz="6" w:space="0" w:color="000000"/>
            </w:tcBorders>
            <w:shd w:val="clear" w:color="auto" w:fill="2D74B5"/>
          </w:tcPr>
          <w:p w14:paraId="42DA9789" w14:textId="77777777" w:rsidR="004D48D2" w:rsidRPr="003D4EB3" w:rsidRDefault="004D48D2" w:rsidP="008911A2">
            <w:pPr>
              <w:widowControl/>
              <w:autoSpaceDE/>
              <w:autoSpaceDN/>
              <w:rPr>
                <w:lang w:val="it-IT"/>
              </w:rPr>
            </w:pPr>
          </w:p>
        </w:tc>
        <w:tc>
          <w:tcPr>
            <w:tcW w:w="3022" w:type="dxa"/>
            <w:tcBorders>
              <w:bottom w:val="single" w:sz="6" w:space="0" w:color="000000"/>
            </w:tcBorders>
          </w:tcPr>
          <w:p w14:paraId="56F449CB" w14:textId="77777777" w:rsidR="004D48D2" w:rsidRPr="003D4EB3" w:rsidRDefault="004D48D2" w:rsidP="008911A2">
            <w:pPr>
              <w:widowControl/>
              <w:autoSpaceDE/>
              <w:autoSpaceDN/>
              <w:rPr>
                <w:lang w:val="it-IT"/>
              </w:rPr>
            </w:pPr>
            <w:r w:rsidRPr="003D4EB3">
              <w:rPr>
                <w:lang w:val="it-IT"/>
              </w:rPr>
              <w:t>Affidamento degli incarichi di RUP al medesimo soggetto per favorire specifici operatori economici</w:t>
            </w:r>
          </w:p>
        </w:tc>
        <w:tc>
          <w:tcPr>
            <w:tcW w:w="7966" w:type="dxa"/>
            <w:tcBorders>
              <w:bottom w:val="single" w:sz="6" w:space="0" w:color="000000"/>
            </w:tcBorders>
          </w:tcPr>
          <w:p w14:paraId="74BFE794" w14:textId="77777777" w:rsidR="004D48D2" w:rsidRPr="003D4EB3" w:rsidRDefault="004D48D2" w:rsidP="008911A2">
            <w:pPr>
              <w:widowControl/>
              <w:autoSpaceDE/>
              <w:autoSpaceDN/>
              <w:rPr>
                <w:lang w:val="it-IT"/>
              </w:rPr>
            </w:pPr>
            <w:r w:rsidRPr="003D4EB3">
              <w:rPr>
                <w:lang w:val="it-IT"/>
              </w:rPr>
              <w:t xml:space="preserve">Previsione di procedure interne che individuino criteri oggettivi di rotazione nella nomina del RUP. In alternativa, controllo delle procedure di affidamento in capo al medesimo </w:t>
            </w:r>
            <w:proofErr w:type="spellStart"/>
            <w:r w:rsidRPr="003D4EB3">
              <w:rPr>
                <w:lang w:val="it-IT"/>
              </w:rPr>
              <w:t>rup</w:t>
            </w:r>
            <w:proofErr w:type="spellEnd"/>
            <w:r w:rsidRPr="003D4EB3">
              <w:rPr>
                <w:lang w:val="it-IT"/>
              </w:rPr>
              <w:t>.</w:t>
            </w:r>
          </w:p>
        </w:tc>
      </w:tr>
      <w:tr w:rsidR="004D48D2" w:rsidRPr="003D4EB3" w14:paraId="60731582" w14:textId="77777777" w:rsidTr="005406E9">
        <w:trPr>
          <w:gridAfter w:val="1"/>
          <w:wAfter w:w="540" w:type="dxa"/>
          <w:trHeight w:val="3749"/>
        </w:trPr>
        <w:tc>
          <w:tcPr>
            <w:tcW w:w="3212" w:type="dxa"/>
            <w:tcBorders>
              <w:top w:val="single" w:sz="6" w:space="0" w:color="000000"/>
              <w:bottom w:val="nil"/>
            </w:tcBorders>
            <w:shd w:val="clear" w:color="auto" w:fill="2D74B5"/>
          </w:tcPr>
          <w:p w14:paraId="61576E68" w14:textId="77777777" w:rsidR="004D48D2" w:rsidRPr="003D4EB3" w:rsidRDefault="004D48D2" w:rsidP="008911A2">
            <w:pPr>
              <w:widowControl/>
              <w:autoSpaceDE/>
              <w:autoSpaceDN/>
            </w:pPr>
            <w:r w:rsidRPr="003D4EB3">
              <w:t xml:space="preserve">Per </w:t>
            </w:r>
            <w:proofErr w:type="spellStart"/>
            <w:r w:rsidRPr="003D4EB3">
              <w:t>gli</w:t>
            </w:r>
            <w:proofErr w:type="spellEnd"/>
            <w:r w:rsidRPr="003D4EB3">
              <w:t xml:space="preserve"> </w:t>
            </w:r>
            <w:proofErr w:type="spellStart"/>
            <w:r w:rsidRPr="003D4EB3">
              <w:t>appalti</w:t>
            </w:r>
            <w:proofErr w:type="spellEnd"/>
          </w:p>
          <w:p w14:paraId="72337EDF" w14:textId="77777777" w:rsidR="004D48D2" w:rsidRPr="003D4EB3" w:rsidRDefault="004D48D2" w:rsidP="004D48D2">
            <w:pPr>
              <w:widowControl/>
              <w:numPr>
                <w:ilvl w:val="0"/>
                <w:numId w:val="4"/>
              </w:numPr>
              <w:autoSpaceDE/>
              <w:autoSpaceDN/>
              <w:rPr>
                <w:lang w:val="it-IT"/>
              </w:rPr>
            </w:pPr>
            <w:r w:rsidRPr="003D4EB3">
              <w:rPr>
                <w:lang w:val="it-IT"/>
              </w:rPr>
              <w:t>di servizi e forniture di valore compreso tra 140 mila € e la soglia comunitaria;</w:t>
            </w:r>
          </w:p>
          <w:p w14:paraId="3C971651" w14:textId="77777777" w:rsidR="004D48D2" w:rsidRPr="003D4EB3" w:rsidRDefault="004D48D2" w:rsidP="004D48D2">
            <w:pPr>
              <w:widowControl/>
              <w:numPr>
                <w:ilvl w:val="0"/>
                <w:numId w:val="4"/>
              </w:numPr>
              <w:autoSpaceDE/>
              <w:autoSpaceDN/>
              <w:rPr>
                <w:lang w:val="it-IT"/>
              </w:rPr>
            </w:pPr>
            <w:r w:rsidRPr="003D4EB3">
              <w:rPr>
                <w:lang w:val="it-IT"/>
              </w:rPr>
              <w:t>di lavori di valore pari o superiore a 150.000 € e inferiore a 1 milione di euro ovvero fino alla soglia comunitaria</w:t>
            </w:r>
          </w:p>
          <w:p w14:paraId="0B3FEB15" w14:textId="77777777" w:rsidR="004D48D2" w:rsidRPr="003D4EB3" w:rsidRDefault="004D48D2" w:rsidP="008911A2">
            <w:pPr>
              <w:widowControl/>
              <w:autoSpaceDE/>
              <w:autoSpaceDN/>
              <w:rPr>
                <w:b/>
                <w:lang w:val="it-IT"/>
              </w:rPr>
            </w:pPr>
          </w:p>
          <w:p w14:paraId="2E2A4D50" w14:textId="77777777" w:rsidR="004D48D2" w:rsidRPr="003D4EB3" w:rsidRDefault="004D48D2" w:rsidP="008911A2">
            <w:pPr>
              <w:widowControl/>
              <w:autoSpaceDE/>
              <w:autoSpaceDN/>
              <w:rPr>
                <w:lang w:val="it-IT"/>
              </w:rPr>
            </w:pPr>
            <w:r w:rsidRPr="003D4EB3">
              <w:rPr>
                <w:lang w:val="it-IT"/>
              </w:rPr>
              <w:t>procedura negoziata ex art. 50, comma 1, lett. c), d, e) del Codice, previa consultazione di almeno 5 o 10 OO.EE., ove esistenti.</w:t>
            </w:r>
          </w:p>
        </w:tc>
        <w:tc>
          <w:tcPr>
            <w:tcW w:w="3022" w:type="dxa"/>
            <w:tcBorders>
              <w:top w:val="single" w:sz="6" w:space="0" w:color="000000"/>
              <w:bottom w:val="nil"/>
            </w:tcBorders>
          </w:tcPr>
          <w:p w14:paraId="27E4B0E2" w14:textId="77777777" w:rsidR="004D48D2" w:rsidRPr="003D4EB3" w:rsidRDefault="004D48D2" w:rsidP="008911A2">
            <w:pPr>
              <w:widowControl/>
              <w:autoSpaceDE/>
              <w:autoSpaceDN/>
              <w:rPr>
                <w:lang w:val="it-IT"/>
              </w:rPr>
            </w:pPr>
            <w:r w:rsidRPr="003D4EB3">
              <w:rPr>
                <w:lang w:val="it-IT"/>
              </w:rPr>
              <w:t>Possibile incremento del rischio di frazionamento oppure che il calcolo del valore stimato dell’appalto sia alterato, in modo tale da non superare i valori previsti dalla norma oppure mancata rilevazione o erronea valutazione dell’esistenza di un interesse transfrontaliero certo</w:t>
            </w:r>
          </w:p>
        </w:tc>
        <w:tc>
          <w:tcPr>
            <w:tcW w:w="7966" w:type="dxa"/>
            <w:tcBorders>
              <w:top w:val="single" w:sz="6" w:space="0" w:color="000000"/>
              <w:bottom w:val="nil"/>
            </w:tcBorders>
          </w:tcPr>
          <w:p w14:paraId="0B629822" w14:textId="77777777" w:rsidR="004D48D2" w:rsidRPr="003D4EB3" w:rsidRDefault="004D48D2" w:rsidP="008911A2">
            <w:pPr>
              <w:widowControl/>
              <w:autoSpaceDE/>
              <w:autoSpaceDN/>
              <w:rPr>
                <w:lang w:val="it-IT"/>
              </w:rPr>
            </w:pPr>
            <w:r w:rsidRPr="003D4EB3">
              <w:rPr>
                <w:lang w:val="it-IT"/>
              </w:rPr>
              <w:t>analisi di tutti gli affidamenti il cui importo è appena inferiore alla soglia minima a partire dalla quale non si potrebbe più ricorrere alle procedure negoziate. Ciò al fine di individuare i contratti sui quali esercitare maggiori controlli anche rispetto alla fase di esecuzione e ai possibili conflitti di interessi;</w:t>
            </w:r>
          </w:p>
        </w:tc>
      </w:tr>
      <w:tr w:rsidR="004D48D2" w:rsidRPr="003D4EB3" w14:paraId="058B45DD" w14:textId="77777777" w:rsidTr="005406E9">
        <w:trPr>
          <w:gridAfter w:val="1"/>
          <w:wAfter w:w="540" w:type="dxa"/>
          <w:trHeight w:val="1125"/>
        </w:trPr>
        <w:tc>
          <w:tcPr>
            <w:tcW w:w="3212" w:type="dxa"/>
            <w:tcBorders>
              <w:top w:val="nil"/>
              <w:bottom w:val="nil"/>
            </w:tcBorders>
            <w:shd w:val="clear" w:color="auto" w:fill="2D74B5"/>
          </w:tcPr>
          <w:p w14:paraId="3A0D0F2B" w14:textId="77777777" w:rsidR="004D48D2" w:rsidRPr="003D4EB3" w:rsidRDefault="004D48D2" w:rsidP="008911A2">
            <w:pPr>
              <w:widowControl/>
              <w:autoSpaceDE/>
              <w:autoSpaceDN/>
              <w:rPr>
                <w:lang w:val="it-IT"/>
              </w:rPr>
            </w:pPr>
          </w:p>
        </w:tc>
        <w:tc>
          <w:tcPr>
            <w:tcW w:w="3022" w:type="dxa"/>
            <w:tcBorders>
              <w:top w:val="nil"/>
              <w:bottom w:val="nil"/>
            </w:tcBorders>
          </w:tcPr>
          <w:p w14:paraId="220BB087" w14:textId="77777777" w:rsidR="004D48D2" w:rsidRPr="003D4EB3" w:rsidRDefault="004D48D2" w:rsidP="008911A2">
            <w:pPr>
              <w:widowControl/>
              <w:autoSpaceDE/>
              <w:autoSpaceDN/>
              <w:rPr>
                <w:lang w:val="it-IT"/>
              </w:rPr>
            </w:pPr>
          </w:p>
        </w:tc>
        <w:tc>
          <w:tcPr>
            <w:tcW w:w="7966" w:type="dxa"/>
            <w:tcBorders>
              <w:top w:val="nil"/>
              <w:bottom w:val="nil"/>
            </w:tcBorders>
          </w:tcPr>
          <w:p w14:paraId="357FDE98" w14:textId="77777777" w:rsidR="004D48D2" w:rsidRPr="003D4EB3" w:rsidRDefault="004D48D2" w:rsidP="008911A2">
            <w:pPr>
              <w:widowControl/>
              <w:autoSpaceDE/>
              <w:autoSpaceDN/>
              <w:rPr>
                <w:lang w:val="it-IT"/>
              </w:rPr>
            </w:pPr>
            <w:r w:rsidRPr="003D4EB3">
              <w:rPr>
                <w:lang w:val="it-IT"/>
              </w:rPr>
              <w:t>analisi degli operatori economici per verificare quelli che in un determinato arco temporale risultano essere stati con maggiore frequenza invitati e aggiudicatari;</w:t>
            </w:r>
          </w:p>
        </w:tc>
      </w:tr>
      <w:tr w:rsidR="004D48D2" w:rsidRPr="003D4EB3" w14:paraId="17F2E50B" w14:textId="77777777" w:rsidTr="005406E9">
        <w:trPr>
          <w:gridAfter w:val="1"/>
          <w:wAfter w:w="540" w:type="dxa"/>
          <w:trHeight w:val="2798"/>
        </w:trPr>
        <w:tc>
          <w:tcPr>
            <w:tcW w:w="3212" w:type="dxa"/>
            <w:tcBorders>
              <w:top w:val="nil"/>
              <w:bottom w:val="nil"/>
            </w:tcBorders>
            <w:shd w:val="clear" w:color="auto" w:fill="2D74B5"/>
          </w:tcPr>
          <w:p w14:paraId="4B03DE31" w14:textId="77777777" w:rsidR="004D48D2" w:rsidRPr="003D4EB3" w:rsidRDefault="004D48D2" w:rsidP="008911A2">
            <w:pPr>
              <w:widowControl/>
              <w:autoSpaceDE/>
              <w:autoSpaceDN/>
              <w:rPr>
                <w:lang w:val="it-IT"/>
              </w:rPr>
            </w:pPr>
          </w:p>
        </w:tc>
        <w:tc>
          <w:tcPr>
            <w:tcW w:w="3022" w:type="dxa"/>
            <w:tcBorders>
              <w:top w:val="nil"/>
              <w:bottom w:val="nil"/>
            </w:tcBorders>
          </w:tcPr>
          <w:p w14:paraId="6E6FCC66" w14:textId="77777777" w:rsidR="004D48D2" w:rsidRPr="003D4EB3" w:rsidRDefault="004D48D2" w:rsidP="008911A2">
            <w:pPr>
              <w:widowControl/>
              <w:autoSpaceDE/>
              <w:autoSpaceDN/>
              <w:rPr>
                <w:lang w:val="it-IT"/>
              </w:rPr>
            </w:pPr>
          </w:p>
        </w:tc>
        <w:tc>
          <w:tcPr>
            <w:tcW w:w="7966" w:type="dxa"/>
            <w:tcBorders>
              <w:top w:val="nil"/>
              <w:bottom w:val="nil"/>
            </w:tcBorders>
          </w:tcPr>
          <w:p w14:paraId="520153A6" w14:textId="77777777" w:rsidR="004D48D2" w:rsidRPr="003D4EB3" w:rsidRDefault="004D48D2" w:rsidP="008911A2">
            <w:pPr>
              <w:widowControl/>
              <w:autoSpaceDE/>
              <w:autoSpaceDN/>
              <w:rPr>
                <w:lang w:val="it-IT"/>
              </w:rPr>
            </w:pPr>
          </w:p>
        </w:tc>
      </w:tr>
      <w:tr w:rsidR="004D48D2" w:rsidRPr="003D4EB3" w14:paraId="6DFFC017" w14:textId="77777777" w:rsidTr="005406E9">
        <w:trPr>
          <w:gridAfter w:val="1"/>
          <w:wAfter w:w="540" w:type="dxa"/>
          <w:trHeight w:val="1452"/>
        </w:trPr>
        <w:tc>
          <w:tcPr>
            <w:tcW w:w="3212" w:type="dxa"/>
            <w:tcBorders>
              <w:top w:val="nil"/>
            </w:tcBorders>
            <w:shd w:val="clear" w:color="auto" w:fill="2D74B5"/>
          </w:tcPr>
          <w:p w14:paraId="5C499363" w14:textId="77777777" w:rsidR="004D48D2" w:rsidRPr="003D4EB3" w:rsidRDefault="004D48D2" w:rsidP="008911A2">
            <w:pPr>
              <w:widowControl/>
              <w:autoSpaceDE/>
              <w:autoSpaceDN/>
              <w:rPr>
                <w:lang w:val="it-IT"/>
              </w:rPr>
            </w:pPr>
          </w:p>
        </w:tc>
        <w:tc>
          <w:tcPr>
            <w:tcW w:w="3022" w:type="dxa"/>
            <w:tcBorders>
              <w:top w:val="nil"/>
            </w:tcBorders>
          </w:tcPr>
          <w:p w14:paraId="0DA8263E" w14:textId="77777777" w:rsidR="004D48D2" w:rsidRPr="003D4EB3" w:rsidRDefault="004D48D2" w:rsidP="008911A2">
            <w:pPr>
              <w:widowControl/>
              <w:autoSpaceDE/>
              <w:autoSpaceDN/>
              <w:rPr>
                <w:lang w:val="it-IT"/>
              </w:rPr>
            </w:pPr>
          </w:p>
        </w:tc>
        <w:tc>
          <w:tcPr>
            <w:tcW w:w="7966" w:type="dxa"/>
            <w:tcBorders>
              <w:top w:val="nil"/>
            </w:tcBorders>
          </w:tcPr>
          <w:p w14:paraId="06CFD3DF" w14:textId="77777777" w:rsidR="004D48D2" w:rsidRPr="003D4EB3" w:rsidRDefault="004D48D2" w:rsidP="008911A2">
            <w:pPr>
              <w:widowControl/>
              <w:autoSpaceDE/>
              <w:autoSpaceDN/>
              <w:rPr>
                <w:lang w:val="it-IT"/>
              </w:rPr>
            </w:pPr>
            <w:r w:rsidRPr="003D4EB3">
              <w:rPr>
                <w:lang w:val="it-IT"/>
              </w:rPr>
              <w:t>analisi delle procedure in cui si rileva l’invito ad un numero di operatori economici inferiore a quello previsto dalla norma per le soglie di riferimento.</w:t>
            </w:r>
          </w:p>
        </w:tc>
      </w:tr>
    </w:tbl>
    <w:p w14:paraId="07792766" w14:textId="77777777" w:rsidR="004D48D2" w:rsidRPr="003D4EB3" w:rsidRDefault="004D48D2" w:rsidP="004D48D2">
      <w:pPr>
        <w:sectPr w:rsidR="004D48D2" w:rsidRPr="003D4EB3" w:rsidSect="00C44B1C">
          <w:pgSz w:w="16840" w:h="11910" w:orient="landscape"/>
          <w:pgMar w:top="880" w:right="1420" w:bottom="740" w:left="900" w:header="0" w:footer="793"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022"/>
        <w:gridCol w:w="7156"/>
      </w:tblGrid>
      <w:tr w:rsidR="004D48D2" w:rsidRPr="003D4EB3" w14:paraId="55EB8087" w14:textId="77777777" w:rsidTr="008911A2">
        <w:trPr>
          <w:trHeight w:val="5932"/>
        </w:trPr>
        <w:tc>
          <w:tcPr>
            <w:tcW w:w="3212" w:type="dxa"/>
            <w:tcBorders>
              <w:bottom w:val="nil"/>
            </w:tcBorders>
            <w:shd w:val="clear" w:color="auto" w:fill="2D74B5"/>
          </w:tcPr>
          <w:p w14:paraId="4DE91D0A" w14:textId="77777777" w:rsidR="004D48D2" w:rsidRPr="003D4EB3" w:rsidRDefault="004D48D2" w:rsidP="008911A2">
            <w:pPr>
              <w:widowControl/>
              <w:autoSpaceDE/>
              <w:autoSpaceDN/>
              <w:rPr>
                <w:b/>
                <w:lang w:val="it-IT"/>
              </w:rPr>
            </w:pPr>
          </w:p>
          <w:p w14:paraId="030BF030" w14:textId="77777777" w:rsidR="004D48D2" w:rsidRPr="003D4EB3" w:rsidRDefault="004D48D2" w:rsidP="008911A2">
            <w:pPr>
              <w:widowControl/>
              <w:autoSpaceDE/>
              <w:autoSpaceDN/>
              <w:rPr>
                <w:b/>
                <w:lang w:val="it-IT"/>
              </w:rPr>
            </w:pPr>
          </w:p>
          <w:p w14:paraId="7C0A15F5" w14:textId="77777777" w:rsidR="004D48D2" w:rsidRPr="003D4EB3" w:rsidRDefault="004D48D2" w:rsidP="008911A2">
            <w:pPr>
              <w:widowControl/>
              <w:autoSpaceDE/>
              <w:autoSpaceDN/>
              <w:rPr>
                <w:b/>
                <w:lang w:val="it-IT"/>
              </w:rPr>
            </w:pPr>
          </w:p>
          <w:p w14:paraId="29F964E0" w14:textId="77777777" w:rsidR="004D48D2" w:rsidRPr="003D4EB3" w:rsidRDefault="004D48D2" w:rsidP="008911A2">
            <w:pPr>
              <w:widowControl/>
              <w:autoSpaceDE/>
              <w:autoSpaceDN/>
              <w:rPr>
                <w:b/>
                <w:lang w:val="it-IT"/>
              </w:rPr>
            </w:pPr>
          </w:p>
          <w:p w14:paraId="5F9F9C25" w14:textId="77777777" w:rsidR="004D48D2" w:rsidRPr="003D4EB3" w:rsidRDefault="004D48D2" w:rsidP="008911A2">
            <w:pPr>
              <w:widowControl/>
              <w:autoSpaceDE/>
              <w:autoSpaceDN/>
              <w:rPr>
                <w:b/>
                <w:lang w:val="it-IT"/>
              </w:rPr>
            </w:pPr>
          </w:p>
          <w:p w14:paraId="09362F2E" w14:textId="77777777" w:rsidR="004D48D2" w:rsidRPr="003D4EB3" w:rsidRDefault="004D48D2" w:rsidP="008911A2">
            <w:pPr>
              <w:widowControl/>
              <w:autoSpaceDE/>
              <w:autoSpaceDN/>
              <w:rPr>
                <w:b/>
                <w:lang w:val="it-IT"/>
              </w:rPr>
            </w:pPr>
          </w:p>
          <w:p w14:paraId="7EBCB539" w14:textId="77777777" w:rsidR="004D48D2" w:rsidRPr="003D4EB3" w:rsidRDefault="004D48D2" w:rsidP="008911A2">
            <w:pPr>
              <w:widowControl/>
              <w:autoSpaceDE/>
              <w:autoSpaceDN/>
              <w:rPr>
                <w:b/>
                <w:lang w:val="it-IT"/>
              </w:rPr>
            </w:pPr>
          </w:p>
          <w:p w14:paraId="288150C8" w14:textId="77777777" w:rsidR="004D48D2" w:rsidRPr="003D4EB3" w:rsidRDefault="004D48D2" w:rsidP="008911A2">
            <w:pPr>
              <w:widowControl/>
              <w:autoSpaceDE/>
              <w:autoSpaceDN/>
              <w:rPr>
                <w:b/>
                <w:lang w:val="it-IT"/>
              </w:rPr>
            </w:pPr>
          </w:p>
          <w:p w14:paraId="0404D2EA" w14:textId="77777777" w:rsidR="004D48D2" w:rsidRPr="003D4EB3" w:rsidRDefault="004D48D2" w:rsidP="008911A2">
            <w:pPr>
              <w:widowControl/>
              <w:autoSpaceDE/>
              <w:autoSpaceDN/>
              <w:rPr>
                <w:b/>
                <w:lang w:val="it-IT"/>
              </w:rPr>
            </w:pPr>
          </w:p>
          <w:p w14:paraId="481C0EB5" w14:textId="77777777" w:rsidR="004D48D2" w:rsidRPr="003D4EB3" w:rsidRDefault="004D48D2" w:rsidP="008911A2">
            <w:pPr>
              <w:widowControl/>
              <w:autoSpaceDE/>
              <w:autoSpaceDN/>
              <w:rPr>
                <w:b/>
                <w:lang w:val="it-IT"/>
              </w:rPr>
            </w:pPr>
          </w:p>
          <w:p w14:paraId="776D1C54" w14:textId="77777777" w:rsidR="004D48D2" w:rsidRPr="003D4EB3" w:rsidRDefault="004D48D2" w:rsidP="008911A2">
            <w:pPr>
              <w:widowControl/>
              <w:autoSpaceDE/>
              <w:autoSpaceDN/>
              <w:rPr>
                <w:b/>
                <w:lang w:val="it-IT"/>
              </w:rPr>
            </w:pPr>
          </w:p>
          <w:p w14:paraId="2FE4B5E8" w14:textId="77777777" w:rsidR="004D48D2" w:rsidRPr="003D4EB3" w:rsidRDefault="004D48D2" w:rsidP="008911A2">
            <w:pPr>
              <w:widowControl/>
              <w:autoSpaceDE/>
              <w:autoSpaceDN/>
              <w:rPr>
                <w:b/>
                <w:lang w:val="it-IT"/>
              </w:rPr>
            </w:pPr>
          </w:p>
          <w:p w14:paraId="742354A1" w14:textId="77777777" w:rsidR="004D48D2" w:rsidRPr="003D4EB3" w:rsidRDefault="004D48D2" w:rsidP="008911A2">
            <w:pPr>
              <w:widowControl/>
              <w:autoSpaceDE/>
              <w:autoSpaceDN/>
              <w:rPr>
                <w:b/>
                <w:lang w:val="it-IT"/>
              </w:rPr>
            </w:pPr>
          </w:p>
          <w:p w14:paraId="0A728C0B" w14:textId="77777777" w:rsidR="004D48D2" w:rsidRPr="003D4EB3" w:rsidRDefault="004D48D2" w:rsidP="008911A2">
            <w:pPr>
              <w:widowControl/>
              <w:autoSpaceDE/>
              <w:autoSpaceDN/>
              <w:rPr>
                <w:b/>
                <w:lang w:val="it-IT"/>
              </w:rPr>
            </w:pPr>
          </w:p>
          <w:p w14:paraId="677336AB" w14:textId="77777777" w:rsidR="004D48D2" w:rsidRPr="003D4EB3" w:rsidRDefault="004D48D2" w:rsidP="008911A2">
            <w:pPr>
              <w:widowControl/>
              <w:autoSpaceDE/>
              <w:autoSpaceDN/>
              <w:rPr>
                <w:b/>
                <w:lang w:val="it-IT"/>
              </w:rPr>
            </w:pPr>
          </w:p>
          <w:p w14:paraId="4A05328F" w14:textId="77777777" w:rsidR="004D48D2" w:rsidRPr="003D4EB3" w:rsidRDefault="004D48D2" w:rsidP="008911A2">
            <w:pPr>
              <w:widowControl/>
              <w:autoSpaceDE/>
              <w:autoSpaceDN/>
              <w:rPr>
                <w:lang w:val="it-IT"/>
              </w:rPr>
            </w:pPr>
            <w:r w:rsidRPr="003D4EB3">
              <w:rPr>
                <w:lang w:val="it-IT"/>
              </w:rPr>
              <w:t>Nella scelta degli OO.EE. affidatari tramite l’affidamento diretto e la procedura negoziata si applica un criterio di rotazione degli affidamenti</w:t>
            </w:r>
          </w:p>
        </w:tc>
        <w:tc>
          <w:tcPr>
            <w:tcW w:w="3022" w:type="dxa"/>
          </w:tcPr>
          <w:p w14:paraId="44717C21" w14:textId="77777777" w:rsidR="004D48D2" w:rsidRPr="003D4EB3" w:rsidRDefault="004D48D2" w:rsidP="008911A2">
            <w:pPr>
              <w:widowControl/>
              <w:autoSpaceDE/>
              <w:autoSpaceDN/>
              <w:rPr>
                <w:lang w:val="it-IT"/>
              </w:rPr>
            </w:pPr>
          </w:p>
        </w:tc>
        <w:tc>
          <w:tcPr>
            <w:tcW w:w="7156" w:type="dxa"/>
          </w:tcPr>
          <w:p w14:paraId="50B3D235" w14:textId="77777777" w:rsidR="004D48D2" w:rsidRPr="003D4EB3" w:rsidRDefault="004D48D2" w:rsidP="008911A2">
            <w:pPr>
              <w:widowControl/>
              <w:autoSpaceDE/>
              <w:autoSpaceDN/>
              <w:rPr>
                <w:lang w:val="it-IT"/>
              </w:rPr>
            </w:pPr>
          </w:p>
          <w:p w14:paraId="1D941B64" w14:textId="77777777" w:rsidR="004D48D2" w:rsidRPr="003D4EB3" w:rsidRDefault="004D48D2" w:rsidP="008911A2">
            <w:pPr>
              <w:widowControl/>
              <w:autoSpaceDE/>
              <w:autoSpaceDN/>
              <w:rPr>
                <w:lang w:val="it-IT"/>
              </w:rPr>
            </w:pPr>
            <w:r w:rsidRPr="003D4EB3">
              <w:rPr>
                <w:lang w:val="it-IT"/>
              </w:rPr>
              <w:t>Il RPCT verifica in sede di monitoraggio la corretta attuazione delle misure programmate.</w:t>
            </w:r>
          </w:p>
        </w:tc>
      </w:tr>
      <w:tr w:rsidR="004D48D2" w:rsidRPr="003D4EB3" w14:paraId="58B3A4B6" w14:textId="77777777" w:rsidTr="008911A2">
        <w:trPr>
          <w:trHeight w:val="3375"/>
        </w:trPr>
        <w:tc>
          <w:tcPr>
            <w:tcW w:w="3212" w:type="dxa"/>
            <w:tcBorders>
              <w:top w:val="nil"/>
            </w:tcBorders>
            <w:shd w:val="clear" w:color="auto" w:fill="2D74B5"/>
          </w:tcPr>
          <w:p w14:paraId="46AE9388" w14:textId="77777777" w:rsidR="004D48D2" w:rsidRPr="003D4EB3" w:rsidRDefault="004D48D2" w:rsidP="008911A2">
            <w:pPr>
              <w:widowControl/>
              <w:autoSpaceDE/>
              <w:autoSpaceDN/>
              <w:rPr>
                <w:lang w:val="it-IT"/>
              </w:rPr>
            </w:pPr>
            <w:r w:rsidRPr="003D4EB3">
              <w:rPr>
                <w:lang w:val="it-IT"/>
              </w:rPr>
              <w:t>NB: La rotazione non si applica quando l’indagine di mercato sia stata effettuata senza porre limiti al numero di operatori economici in possesso dei requisiti richiesti da invitare alla successiva procedura negoziata (art. 49, comma 5).</w:t>
            </w:r>
          </w:p>
        </w:tc>
        <w:tc>
          <w:tcPr>
            <w:tcW w:w="3022" w:type="dxa"/>
          </w:tcPr>
          <w:p w14:paraId="325EB61A" w14:textId="77777777" w:rsidR="004D48D2" w:rsidRPr="003D4EB3" w:rsidRDefault="004D48D2" w:rsidP="008911A2">
            <w:pPr>
              <w:widowControl/>
              <w:autoSpaceDE/>
              <w:autoSpaceDN/>
              <w:rPr>
                <w:lang w:val="it-IT"/>
              </w:rPr>
            </w:pPr>
            <w:r w:rsidRPr="003D4EB3">
              <w:rPr>
                <w:lang w:val="it-IT"/>
              </w:rPr>
              <w:t>Mancata rotazione degli operatori economici, secondo il criterio dei successivi due affidamenti ex art. 49, commi 2 e 4 del Codice, chiamati a partecipare e formulazione di inviti alla procedura ad un numero di soggetti inferiori a quello previsto dalla norma al fine di favorire determinati operatori economici a discapito di altri.</w:t>
            </w:r>
          </w:p>
        </w:tc>
        <w:tc>
          <w:tcPr>
            <w:tcW w:w="7156" w:type="dxa"/>
          </w:tcPr>
          <w:p w14:paraId="767CDA49" w14:textId="77777777" w:rsidR="004D48D2" w:rsidRPr="003D4EB3" w:rsidRDefault="004D48D2" w:rsidP="008911A2">
            <w:pPr>
              <w:widowControl/>
              <w:autoSpaceDE/>
              <w:autoSpaceDN/>
              <w:rPr>
                <w:lang w:val="it-IT"/>
              </w:rPr>
            </w:pPr>
            <w:r w:rsidRPr="003D4EB3">
              <w:rPr>
                <w:lang w:val="it-IT"/>
              </w:rPr>
              <w:t>Verifica da parte del RPCT circa la corretta attuazione del principio di rotazione degli affidamenti al fine di garantire la parità di trattamento in termini di effettiva possibilità di partecipazione alle gare anche delle micro, piccole e medie imprese inserite negli elenchi.</w:t>
            </w:r>
          </w:p>
          <w:p w14:paraId="2ECF105E" w14:textId="77777777" w:rsidR="004D48D2" w:rsidRPr="003D4EB3" w:rsidRDefault="004D48D2" w:rsidP="008911A2">
            <w:pPr>
              <w:widowControl/>
              <w:autoSpaceDE/>
              <w:autoSpaceDN/>
              <w:rPr>
                <w:lang w:val="it-IT"/>
              </w:rPr>
            </w:pPr>
            <w:r w:rsidRPr="003D4EB3">
              <w:rPr>
                <w:lang w:val="it-IT"/>
              </w:rPr>
              <w:t>Aggiornamento tempestivo degli elenchi, su richiesta degli operatori economici, che intendono partecipare alle gare.</w:t>
            </w:r>
          </w:p>
        </w:tc>
      </w:tr>
      <w:tr w:rsidR="004D48D2" w:rsidRPr="003D4EB3" w14:paraId="49D6612E" w14:textId="77777777" w:rsidTr="008911A2">
        <w:trPr>
          <w:trHeight w:val="2960"/>
        </w:trPr>
        <w:tc>
          <w:tcPr>
            <w:tcW w:w="3212" w:type="dxa"/>
            <w:tcBorders>
              <w:bottom w:val="nil"/>
            </w:tcBorders>
            <w:shd w:val="clear" w:color="auto" w:fill="2D74B5"/>
          </w:tcPr>
          <w:p w14:paraId="7EC2CDA7" w14:textId="77777777" w:rsidR="004D48D2" w:rsidRPr="003D4EB3" w:rsidRDefault="004D48D2" w:rsidP="008911A2">
            <w:pPr>
              <w:widowControl/>
              <w:autoSpaceDE/>
              <w:autoSpaceDN/>
              <w:rPr>
                <w:b/>
                <w:lang w:val="it-IT"/>
              </w:rPr>
            </w:pPr>
          </w:p>
          <w:p w14:paraId="12588352" w14:textId="77777777" w:rsidR="004D48D2" w:rsidRPr="003D4EB3" w:rsidRDefault="004D48D2" w:rsidP="008911A2">
            <w:pPr>
              <w:widowControl/>
              <w:autoSpaceDE/>
              <w:autoSpaceDN/>
              <w:rPr>
                <w:lang w:val="it-IT"/>
              </w:rPr>
            </w:pPr>
            <w:r w:rsidRPr="003D4EB3">
              <w:rPr>
                <w:lang w:val="it-IT"/>
              </w:rPr>
              <w:t>Art. 76 Codice Appalti sopra soglia</w:t>
            </w:r>
          </w:p>
          <w:p w14:paraId="68B299CF" w14:textId="77777777" w:rsidR="004D48D2" w:rsidRPr="003D4EB3" w:rsidRDefault="004D48D2" w:rsidP="008911A2">
            <w:pPr>
              <w:widowControl/>
              <w:autoSpaceDE/>
              <w:autoSpaceDN/>
              <w:rPr>
                <w:b/>
                <w:lang w:val="it-IT"/>
              </w:rPr>
            </w:pPr>
          </w:p>
          <w:p w14:paraId="26C37CCF" w14:textId="77777777" w:rsidR="004D48D2" w:rsidRPr="003D4EB3" w:rsidRDefault="004D48D2" w:rsidP="008911A2">
            <w:pPr>
              <w:widowControl/>
              <w:autoSpaceDE/>
              <w:autoSpaceDN/>
              <w:rPr>
                <w:lang w:val="it-IT"/>
              </w:rPr>
            </w:pPr>
            <w:r w:rsidRPr="003D4EB3">
              <w:rPr>
                <w:lang w:val="it-IT"/>
              </w:rPr>
              <w:t>Quando il bando o l’avviso o altro atto equivalente sia adottato dopo il</w:t>
            </w:r>
          </w:p>
          <w:p w14:paraId="3497C62D" w14:textId="77777777" w:rsidR="004D48D2" w:rsidRPr="003D4EB3" w:rsidRDefault="004D48D2" w:rsidP="008911A2">
            <w:pPr>
              <w:widowControl/>
              <w:autoSpaceDE/>
              <w:autoSpaceDN/>
              <w:rPr>
                <w:lang w:val="it-IT"/>
              </w:rPr>
            </w:pPr>
            <w:r w:rsidRPr="003D4EB3">
              <w:rPr>
                <w:lang w:val="it-IT"/>
              </w:rPr>
              <w:t>30 giugno 2023, utilizzo delle procedure negoziate senza bando ex art. 76 del Codice.</w:t>
            </w:r>
          </w:p>
        </w:tc>
        <w:tc>
          <w:tcPr>
            <w:tcW w:w="3022" w:type="dxa"/>
          </w:tcPr>
          <w:p w14:paraId="3D9A6FEF" w14:textId="77777777" w:rsidR="004D48D2" w:rsidRPr="003D4EB3" w:rsidRDefault="004D48D2" w:rsidP="008911A2">
            <w:pPr>
              <w:widowControl/>
              <w:autoSpaceDE/>
              <w:autoSpaceDN/>
            </w:pPr>
            <w:r w:rsidRPr="003D4EB3">
              <w:rPr>
                <w:lang w:val="it-IT"/>
              </w:rPr>
              <w:t xml:space="preserve">Possibile abuso del ricorso alla procedura negoziata di cui agli artt. </w:t>
            </w:r>
            <w:r w:rsidRPr="003D4EB3">
              <w:t xml:space="preserve">76 in </w:t>
            </w:r>
            <w:proofErr w:type="spellStart"/>
            <w:r w:rsidRPr="003D4EB3">
              <w:t>assenza</w:t>
            </w:r>
            <w:proofErr w:type="spellEnd"/>
            <w:r w:rsidRPr="003D4EB3">
              <w:t xml:space="preserve"> del </w:t>
            </w:r>
            <w:proofErr w:type="spellStart"/>
            <w:r w:rsidRPr="003D4EB3">
              <w:t>ricorrere</w:t>
            </w:r>
            <w:proofErr w:type="spellEnd"/>
            <w:r w:rsidRPr="003D4EB3">
              <w:t xml:space="preserve"> </w:t>
            </w:r>
            <w:proofErr w:type="spellStart"/>
            <w:r w:rsidRPr="003D4EB3">
              <w:t>delle</w:t>
            </w:r>
            <w:proofErr w:type="spellEnd"/>
            <w:r w:rsidRPr="003D4EB3">
              <w:t xml:space="preserve"> </w:t>
            </w:r>
            <w:proofErr w:type="spellStart"/>
            <w:r w:rsidRPr="003D4EB3">
              <w:t>condizioni</w:t>
            </w:r>
            <w:proofErr w:type="spellEnd"/>
            <w:r w:rsidRPr="003D4EB3">
              <w:t xml:space="preserve"> e in </w:t>
            </w:r>
            <w:proofErr w:type="spellStart"/>
            <w:r w:rsidRPr="003D4EB3">
              <w:t>particolare</w:t>
            </w:r>
            <w:proofErr w:type="spellEnd"/>
            <w:r w:rsidRPr="003D4EB3">
              <w:t>:</w:t>
            </w:r>
          </w:p>
          <w:p w14:paraId="68C4F784" w14:textId="77777777" w:rsidR="004D48D2" w:rsidRPr="003D4EB3" w:rsidRDefault="004D48D2" w:rsidP="004D48D2">
            <w:pPr>
              <w:widowControl/>
              <w:numPr>
                <w:ilvl w:val="0"/>
                <w:numId w:val="3"/>
              </w:numPr>
              <w:autoSpaceDE/>
              <w:autoSpaceDN/>
            </w:pPr>
            <w:proofErr w:type="spellStart"/>
            <w:r w:rsidRPr="003D4EB3">
              <w:t>dell’unicità</w:t>
            </w:r>
            <w:proofErr w:type="spellEnd"/>
            <w:r w:rsidRPr="003D4EB3">
              <w:t xml:space="preserve">    </w:t>
            </w:r>
            <w:proofErr w:type="spellStart"/>
            <w:r w:rsidRPr="003D4EB3">
              <w:t>dell’operatore</w:t>
            </w:r>
            <w:proofErr w:type="spellEnd"/>
          </w:p>
          <w:p w14:paraId="67587F08" w14:textId="77777777" w:rsidR="004D48D2" w:rsidRPr="003D4EB3" w:rsidRDefault="004D48D2" w:rsidP="008911A2">
            <w:pPr>
              <w:widowControl/>
              <w:autoSpaceDE/>
              <w:autoSpaceDN/>
            </w:pPr>
            <w:proofErr w:type="spellStart"/>
            <w:r w:rsidRPr="003D4EB3">
              <w:t>economico</w:t>
            </w:r>
            <w:proofErr w:type="spellEnd"/>
            <w:r w:rsidRPr="003D4EB3">
              <w:t xml:space="preserve"> (comma 2, </w:t>
            </w:r>
            <w:proofErr w:type="spellStart"/>
            <w:r w:rsidRPr="003D4EB3">
              <w:t>lett</w:t>
            </w:r>
            <w:proofErr w:type="spellEnd"/>
            <w:r w:rsidRPr="003D4EB3">
              <w:t>. b);</w:t>
            </w:r>
          </w:p>
          <w:p w14:paraId="490E4E51" w14:textId="77777777" w:rsidR="004D48D2" w:rsidRPr="003D4EB3" w:rsidRDefault="004D48D2" w:rsidP="004D48D2">
            <w:pPr>
              <w:widowControl/>
              <w:numPr>
                <w:ilvl w:val="0"/>
                <w:numId w:val="3"/>
              </w:numPr>
              <w:autoSpaceDE/>
              <w:autoSpaceDN/>
              <w:rPr>
                <w:lang w:val="it-IT"/>
              </w:rPr>
            </w:pPr>
            <w:r w:rsidRPr="003D4EB3">
              <w:rPr>
                <w:lang w:val="it-IT"/>
              </w:rPr>
              <w:t>dell’estrema urgenza da eventi imprevedibili dalla stazione appaltante (comma 2, lett. c):</w:t>
            </w:r>
          </w:p>
        </w:tc>
        <w:tc>
          <w:tcPr>
            <w:tcW w:w="7156" w:type="dxa"/>
          </w:tcPr>
          <w:p w14:paraId="44DF4F4B" w14:textId="77777777" w:rsidR="004D48D2" w:rsidRPr="003D4EB3" w:rsidRDefault="004D48D2" w:rsidP="008911A2">
            <w:pPr>
              <w:widowControl/>
              <w:autoSpaceDE/>
              <w:autoSpaceDN/>
              <w:rPr>
                <w:lang w:val="it-IT"/>
              </w:rPr>
            </w:pPr>
            <w:r w:rsidRPr="003D4EB3">
              <w:rPr>
                <w:lang w:val="it-IT"/>
              </w:rPr>
              <w:t>Adozione di criteri da seguire nell’affidamento dei contratti sopra soglia mediante procedure negoziate senza bando (casi di ammissibilità, modalità di selezione degli operatori economici da invitare alle procedure negoziate ecc.).</w:t>
            </w:r>
          </w:p>
          <w:p w14:paraId="45F1D03B" w14:textId="77777777" w:rsidR="004D48D2" w:rsidRPr="003D4EB3" w:rsidRDefault="004D48D2" w:rsidP="008911A2">
            <w:pPr>
              <w:widowControl/>
              <w:autoSpaceDE/>
              <w:autoSpaceDN/>
              <w:rPr>
                <w:b/>
                <w:lang w:val="it-IT"/>
              </w:rPr>
            </w:pPr>
          </w:p>
          <w:p w14:paraId="68CE350F" w14:textId="77777777" w:rsidR="004D48D2" w:rsidRPr="003D4EB3" w:rsidRDefault="004D48D2" w:rsidP="008911A2">
            <w:pPr>
              <w:widowControl/>
              <w:autoSpaceDE/>
              <w:autoSpaceDN/>
              <w:rPr>
                <w:lang w:val="it-IT"/>
              </w:rPr>
            </w:pPr>
          </w:p>
        </w:tc>
      </w:tr>
      <w:tr w:rsidR="004D48D2" w:rsidRPr="003D4EB3" w14:paraId="2CD91DCB" w14:textId="77777777" w:rsidTr="008911A2">
        <w:trPr>
          <w:trHeight w:val="2666"/>
        </w:trPr>
        <w:tc>
          <w:tcPr>
            <w:tcW w:w="3212" w:type="dxa"/>
            <w:tcBorders>
              <w:top w:val="nil"/>
            </w:tcBorders>
            <w:shd w:val="clear" w:color="auto" w:fill="2D74B5"/>
          </w:tcPr>
          <w:p w14:paraId="405B0EA8" w14:textId="77777777" w:rsidR="004D48D2" w:rsidRPr="003D4EB3" w:rsidRDefault="004D48D2" w:rsidP="008911A2">
            <w:pPr>
              <w:widowControl/>
              <w:autoSpaceDE/>
              <w:autoSpaceDN/>
              <w:rPr>
                <w:b/>
                <w:lang w:val="it-IT"/>
              </w:rPr>
            </w:pPr>
          </w:p>
          <w:p w14:paraId="004E20EC" w14:textId="77777777" w:rsidR="004D48D2" w:rsidRPr="003D4EB3" w:rsidRDefault="004D48D2" w:rsidP="008911A2">
            <w:pPr>
              <w:widowControl/>
              <w:autoSpaceDE/>
              <w:autoSpaceDN/>
              <w:rPr>
                <w:lang w:val="en-GB"/>
              </w:rPr>
            </w:pPr>
            <w:r w:rsidRPr="003D4EB3">
              <w:rPr>
                <w:lang w:val="en-GB"/>
              </w:rPr>
              <w:t xml:space="preserve">Art. 62, comma 1, e art. 63, comma 2, </w:t>
            </w:r>
            <w:proofErr w:type="spellStart"/>
            <w:r w:rsidRPr="003D4EB3">
              <w:rPr>
                <w:lang w:val="en-GB"/>
              </w:rPr>
              <w:t>d.lgs</w:t>
            </w:r>
            <w:proofErr w:type="spellEnd"/>
            <w:r w:rsidRPr="003D4EB3">
              <w:rPr>
                <w:lang w:val="en-GB"/>
              </w:rPr>
              <w:t>. n. 36/2023</w:t>
            </w:r>
          </w:p>
          <w:p w14:paraId="5051A1B3" w14:textId="77777777" w:rsidR="004D48D2" w:rsidRPr="003D4EB3" w:rsidRDefault="004D48D2" w:rsidP="008911A2">
            <w:pPr>
              <w:widowControl/>
              <w:autoSpaceDE/>
              <w:autoSpaceDN/>
              <w:rPr>
                <w:b/>
                <w:lang w:val="en-GB"/>
              </w:rPr>
            </w:pPr>
          </w:p>
          <w:p w14:paraId="66B5310F" w14:textId="77777777" w:rsidR="004D48D2" w:rsidRPr="003D4EB3" w:rsidRDefault="004D48D2" w:rsidP="008911A2">
            <w:pPr>
              <w:widowControl/>
              <w:autoSpaceDE/>
              <w:autoSpaceDN/>
              <w:rPr>
                <w:b/>
                <w:lang w:val="en-GB"/>
              </w:rPr>
            </w:pPr>
          </w:p>
          <w:p w14:paraId="5027FD4A" w14:textId="77777777" w:rsidR="004D48D2" w:rsidRPr="003D4EB3" w:rsidRDefault="004D48D2" w:rsidP="008911A2">
            <w:pPr>
              <w:widowControl/>
              <w:autoSpaceDE/>
              <w:autoSpaceDN/>
              <w:rPr>
                <w:b/>
                <w:lang w:val="en-GB"/>
              </w:rPr>
            </w:pPr>
          </w:p>
          <w:p w14:paraId="292CEEDA" w14:textId="77777777" w:rsidR="004D48D2" w:rsidRPr="003D4EB3" w:rsidRDefault="004D48D2" w:rsidP="008911A2">
            <w:pPr>
              <w:widowControl/>
              <w:autoSpaceDE/>
              <w:autoSpaceDN/>
              <w:rPr>
                <w:lang w:val="it-IT"/>
              </w:rPr>
            </w:pPr>
            <w:r w:rsidRPr="003D4EB3">
              <w:rPr>
                <w:lang w:val="it-IT"/>
              </w:rPr>
              <w:t>In particolare:</w:t>
            </w:r>
          </w:p>
          <w:p w14:paraId="3BD3FB69" w14:textId="77777777" w:rsidR="004D48D2" w:rsidRPr="003D4EB3" w:rsidRDefault="004D48D2" w:rsidP="008911A2">
            <w:pPr>
              <w:widowControl/>
              <w:autoSpaceDE/>
              <w:autoSpaceDN/>
              <w:rPr>
                <w:lang w:val="it-IT"/>
              </w:rPr>
            </w:pPr>
            <w:r w:rsidRPr="003D4EB3">
              <w:rPr>
                <w:lang w:val="it-IT"/>
              </w:rPr>
              <w:t>per gli appalti di servizi e forniture di importo inferiore a 140 mila € e lavori di importo inferiore 500 mila</w:t>
            </w:r>
          </w:p>
          <w:p w14:paraId="4E60B94B" w14:textId="77777777" w:rsidR="004D48D2" w:rsidRPr="003D4EB3" w:rsidRDefault="004D48D2" w:rsidP="008911A2">
            <w:pPr>
              <w:widowControl/>
              <w:autoSpaceDE/>
              <w:autoSpaceDN/>
              <w:rPr>
                <w:lang w:val="it-IT"/>
              </w:rPr>
            </w:pPr>
            <w:r w:rsidRPr="003D4EB3">
              <w:rPr>
                <w:lang w:val="it-IT"/>
              </w:rPr>
              <w:t>€    in    relazione    ai   livelli    di</w:t>
            </w:r>
          </w:p>
          <w:p w14:paraId="6FB15D64" w14:textId="77777777" w:rsidR="004D48D2" w:rsidRPr="003D4EB3" w:rsidRDefault="004D48D2" w:rsidP="008911A2">
            <w:pPr>
              <w:widowControl/>
              <w:autoSpaceDE/>
              <w:autoSpaceDN/>
              <w:rPr>
                <w:lang w:val="it-IT"/>
              </w:rPr>
            </w:pPr>
            <w:r w:rsidRPr="003D4EB3">
              <w:rPr>
                <w:lang w:val="it-IT"/>
              </w:rPr>
              <w:t>qualificazione stabiliti dall’art. 63,</w:t>
            </w:r>
          </w:p>
        </w:tc>
        <w:tc>
          <w:tcPr>
            <w:tcW w:w="3022" w:type="dxa"/>
          </w:tcPr>
          <w:p w14:paraId="0258BBCB" w14:textId="77777777" w:rsidR="004D48D2" w:rsidRPr="003D4EB3" w:rsidRDefault="004D48D2" w:rsidP="008911A2">
            <w:pPr>
              <w:widowControl/>
              <w:autoSpaceDE/>
              <w:autoSpaceDN/>
              <w:rPr>
                <w:lang w:val="it-IT"/>
              </w:rPr>
            </w:pPr>
            <w:r w:rsidRPr="003D4EB3">
              <w:rPr>
                <w:lang w:val="it-IT"/>
              </w:rPr>
              <w:t>Possibile incremento del rischio di frazionamento oppure che il calcolo del valore stimato dell’appalto sia alterato in modo tale da non superare le soglie previste dalla norma al fine di poter svolgere le procedure di affidamento in autonomia al fine di favorire determinate imprese nell’assegnazione di commesse.</w:t>
            </w:r>
          </w:p>
        </w:tc>
        <w:tc>
          <w:tcPr>
            <w:tcW w:w="7156" w:type="dxa"/>
          </w:tcPr>
          <w:p w14:paraId="212914F8" w14:textId="77777777" w:rsidR="004D48D2" w:rsidRPr="003D4EB3" w:rsidRDefault="004D48D2" w:rsidP="008911A2">
            <w:pPr>
              <w:widowControl/>
              <w:autoSpaceDE/>
              <w:autoSpaceDN/>
              <w:rPr>
                <w:lang w:val="it-IT"/>
              </w:rPr>
            </w:pPr>
            <w:r w:rsidRPr="003D4EB3">
              <w:rPr>
                <w:lang w:val="it-IT"/>
              </w:rPr>
              <w:t>1) analisi di tutti gli affidamenti il cui importo è appena inferiore alla soglia minima a partire dalla quale non si</w:t>
            </w:r>
          </w:p>
          <w:p w14:paraId="401626BE" w14:textId="77777777" w:rsidR="004D48D2" w:rsidRPr="003D4EB3" w:rsidRDefault="004D48D2" w:rsidP="008911A2">
            <w:pPr>
              <w:widowControl/>
              <w:autoSpaceDE/>
              <w:autoSpaceDN/>
              <w:rPr>
                <w:lang w:val="it-IT"/>
              </w:rPr>
            </w:pPr>
            <w:r w:rsidRPr="003D4EB3">
              <w:rPr>
                <w:lang w:val="it-IT"/>
              </w:rPr>
              <w:t>potrebbe più ricorrere alle procedure</w:t>
            </w:r>
          </w:p>
        </w:tc>
      </w:tr>
    </w:tbl>
    <w:p w14:paraId="2058B543" w14:textId="77777777" w:rsidR="004D48D2" w:rsidRPr="003D4EB3" w:rsidRDefault="004D48D2" w:rsidP="004D48D2">
      <w:r w:rsidRPr="003D4EB3">
        <w:rPr>
          <w:noProof/>
          <w:lang w:eastAsia="it-IT"/>
        </w:rPr>
        <mc:AlternateContent>
          <mc:Choice Requires="wps">
            <w:drawing>
              <wp:anchor distT="0" distB="0" distL="114300" distR="114300" simplePos="0" relativeHeight="251659264" behindDoc="1" locked="0" layoutInCell="1" allowOverlap="1" wp14:anchorId="52D09E2C" wp14:editId="2850D594">
                <wp:simplePos x="0" y="0"/>
                <wp:positionH relativeFrom="page">
                  <wp:posOffset>727710</wp:posOffset>
                </wp:positionH>
                <wp:positionV relativeFrom="page">
                  <wp:posOffset>7863205</wp:posOffset>
                </wp:positionV>
                <wp:extent cx="1941195" cy="6350"/>
                <wp:effectExtent l="3810" t="0" r="0" b="0"/>
                <wp:wrapNone/>
                <wp:docPr id="333749521"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50DB8" id="Rettangolo 6" o:spid="_x0000_s1026" style="position:absolute;margin-left:57.3pt;margin-top:619.15pt;width:152.8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" fillcolor="black" stroked="f">
                <w10:wrap anchorx="page" anchory="page"/>
              </v:rect>
            </w:pict>
          </mc:Fallback>
        </mc:AlternateContent>
      </w:r>
    </w:p>
    <w:p w14:paraId="062E8DE1" w14:textId="77777777" w:rsidR="004D48D2" w:rsidRPr="003D4EB3" w:rsidRDefault="004D48D2" w:rsidP="004D48D2">
      <w:pPr>
        <w:sectPr w:rsidR="004D48D2" w:rsidRPr="003D4EB3" w:rsidSect="00C44B1C">
          <w:pgSz w:w="16840" w:h="11910" w:orient="landscape"/>
          <w:pgMar w:top="880" w:right="1420" w:bottom="740" w:left="900" w:header="0" w:footer="713"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022"/>
        <w:gridCol w:w="7516"/>
      </w:tblGrid>
      <w:tr w:rsidR="004D48D2" w:rsidRPr="003D4EB3" w14:paraId="56E160B0" w14:textId="77777777" w:rsidTr="008911A2">
        <w:trPr>
          <w:trHeight w:val="1078"/>
        </w:trPr>
        <w:tc>
          <w:tcPr>
            <w:tcW w:w="3212" w:type="dxa"/>
            <w:tcBorders>
              <w:bottom w:val="nil"/>
            </w:tcBorders>
            <w:shd w:val="clear" w:color="auto" w:fill="2D74B5"/>
          </w:tcPr>
          <w:p w14:paraId="4305AF9A" w14:textId="77777777" w:rsidR="004D48D2" w:rsidRPr="003D4EB3" w:rsidRDefault="004D48D2" w:rsidP="008911A2">
            <w:pPr>
              <w:widowControl/>
              <w:autoSpaceDE/>
              <w:autoSpaceDN/>
              <w:rPr>
                <w:lang w:val="it-IT"/>
              </w:rPr>
            </w:pPr>
            <w:r w:rsidRPr="003D4EB3">
              <w:rPr>
                <w:lang w:val="it-IT"/>
              </w:rPr>
              <w:t>comma 2, e i criteri stabilità</w:t>
            </w:r>
          </w:p>
          <w:p w14:paraId="4C2E8FFF" w14:textId="77777777" w:rsidR="004D48D2" w:rsidRPr="003D4EB3" w:rsidRDefault="004D48D2" w:rsidP="008911A2">
            <w:pPr>
              <w:widowControl/>
              <w:autoSpaceDE/>
              <w:autoSpaceDN/>
              <w:rPr>
                <w:lang w:val="it-IT"/>
              </w:rPr>
            </w:pPr>
            <w:r w:rsidRPr="003D4EB3">
              <w:rPr>
                <w:lang w:val="it-IT"/>
              </w:rPr>
              <w:t>dall’</w:t>
            </w:r>
            <w:proofErr w:type="spellStart"/>
            <w:r w:rsidRPr="003D4EB3">
              <w:rPr>
                <w:lang w:val="it-IT"/>
              </w:rPr>
              <w:t>All</w:t>
            </w:r>
            <w:proofErr w:type="spellEnd"/>
            <w:r w:rsidRPr="003D4EB3">
              <w:rPr>
                <w:lang w:val="it-IT"/>
              </w:rPr>
              <w:t>. II.4.</w:t>
            </w:r>
          </w:p>
        </w:tc>
        <w:tc>
          <w:tcPr>
            <w:tcW w:w="3022" w:type="dxa"/>
            <w:vMerge w:val="restart"/>
          </w:tcPr>
          <w:p w14:paraId="3156F670" w14:textId="77777777" w:rsidR="004D48D2" w:rsidRPr="003D4EB3" w:rsidRDefault="004D48D2" w:rsidP="008911A2">
            <w:pPr>
              <w:widowControl/>
              <w:autoSpaceDE/>
              <w:autoSpaceDN/>
              <w:rPr>
                <w:lang w:val="it-IT"/>
              </w:rPr>
            </w:pPr>
          </w:p>
        </w:tc>
        <w:tc>
          <w:tcPr>
            <w:tcW w:w="7516" w:type="dxa"/>
            <w:tcBorders>
              <w:bottom w:val="nil"/>
            </w:tcBorders>
          </w:tcPr>
          <w:p w14:paraId="7039077E" w14:textId="77777777" w:rsidR="004D48D2" w:rsidRPr="003D4EB3" w:rsidRDefault="004D48D2" w:rsidP="008911A2">
            <w:pPr>
              <w:widowControl/>
              <w:autoSpaceDE/>
              <w:autoSpaceDN/>
              <w:rPr>
                <w:lang w:val="it-IT"/>
              </w:rPr>
            </w:pPr>
            <w:r w:rsidRPr="003D4EB3">
              <w:rPr>
                <w:lang w:val="it-IT"/>
              </w:rPr>
              <w:t>negoziate. Ciò al fine di individuare i contratti sui quali esercitare maggiori controlli anche rispetto alla fase di esecuzione e ai possibili conflitti di interessi;</w:t>
            </w:r>
          </w:p>
        </w:tc>
      </w:tr>
      <w:tr w:rsidR="004D48D2" w:rsidRPr="003D4EB3" w14:paraId="11B9347D" w14:textId="77777777" w:rsidTr="008911A2">
        <w:trPr>
          <w:trHeight w:val="1115"/>
        </w:trPr>
        <w:tc>
          <w:tcPr>
            <w:tcW w:w="3212" w:type="dxa"/>
            <w:tcBorders>
              <w:top w:val="nil"/>
              <w:bottom w:val="nil"/>
            </w:tcBorders>
            <w:shd w:val="clear" w:color="auto" w:fill="2D74B5"/>
          </w:tcPr>
          <w:p w14:paraId="1F4719C7" w14:textId="77777777" w:rsidR="004D48D2" w:rsidRPr="003D4EB3" w:rsidRDefault="004D48D2" w:rsidP="008911A2">
            <w:pPr>
              <w:widowControl/>
              <w:autoSpaceDE/>
              <w:autoSpaceDN/>
              <w:rPr>
                <w:lang w:val="it-IT"/>
              </w:rPr>
            </w:pPr>
          </w:p>
        </w:tc>
        <w:tc>
          <w:tcPr>
            <w:tcW w:w="3022" w:type="dxa"/>
            <w:vMerge/>
            <w:tcBorders>
              <w:top w:val="nil"/>
            </w:tcBorders>
          </w:tcPr>
          <w:p w14:paraId="05B4B8F8" w14:textId="77777777" w:rsidR="004D48D2" w:rsidRPr="003D4EB3" w:rsidRDefault="004D48D2" w:rsidP="008911A2">
            <w:pPr>
              <w:widowControl/>
              <w:autoSpaceDE/>
              <w:autoSpaceDN/>
              <w:rPr>
                <w:lang w:val="it-IT"/>
              </w:rPr>
            </w:pPr>
          </w:p>
        </w:tc>
        <w:tc>
          <w:tcPr>
            <w:tcW w:w="7516" w:type="dxa"/>
            <w:tcBorders>
              <w:top w:val="nil"/>
              <w:bottom w:val="nil"/>
            </w:tcBorders>
          </w:tcPr>
          <w:p w14:paraId="0128B520" w14:textId="77777777" w:rsidR="004D48D2" w:rsidRPr="003D4EB3" w:rsidRDefault="004D48D2" w:rsidP="008911A2">
            <w:pPr>
              <w:widowControl/>
              <w:autoSpaceDE/>
              <w:autoSpaceDN/>
              <w:rPr>
                <w:lang w:val="it-IT"/>
              </w:rPr>
            </w:pPr>
            <w:r w:rsidRPr="003D4EB3">
              <w:rPr>
                <w:lang w:val="it-IT"/>
              </w:rPr>
              <w:t>2) analisi degli operatori economici per verificare quelli che in un determinato arco temporale risultano essere stati con maggiore frequenza invitati e aggiudicatari;</w:t>
            </w:r>
          </w:p>
        </w:tc>
      </w:tr>
      <w:tr w:rsidR="004D48D2" w:rsidRPr="003D4EB3" w14:paraId="3D7231F3" w14:textId="77777777" w:rsidTr="008911A2">
        <w:trPr>
          <w:trHeight w:val="2788"/>
        </w:trPr>
        <w:tc>
          <w:tcPr>
            <w:tcW w:w="3212" w:type="dxa"/>
            <w:tcBorders>
              <w:top w:val="nil"/>
              <w:bottom w:val="nil"/>
            </w:tcBorders>
            <w:shd w:val="clear" w:color="auto" w:fill="2D74B5"/>
          </w:tcPr>
          <w:p w14:paraId="091F6B2B" w14:textId="77777777" w:rsidR="004D48D2" w:rsidRPr="003D4EB3" w:rsidRDefault="004D48D2" w:rsidP="008911A2">
            <w:pPr>
              <w:widowControl/>
              <w:autoSpaceDE/>
              <w:autoSpaceDN/>
              <w:rPr>
                <w:lang w:val="it-IT"/>
              </w:rPr>
            </w:pPr>
          </w:p>
        </w:tc>
        <w:tc>
          <w:tcPr>
            <w:tcW w:w="3022" w:type="dxa"/>
            <w:vMerge/>
            <w:tcBorders>
              <w:top w:val="nil"/>
            </w:tcBorders>
          </w:tcPr>
          <w:p w14:paraId="155F01BD" w14:textId="77777777" w:rsidR="004D48D2" w:rsidRPr="003D4EB3" w:rsidRDefault="004D48D2" w:rsidP="008911A2">
            <w:pPr>
              <w:widowControl/>
              <w:autoSpaceDE/>
              <w:autoSpaceDN/>
              <w:rPr>
                <w:lang w:val="it-IT"/>
              </w:rPr>
            </w:pPr>
          </w:p>
        </w:tc>
        <w:tc>
          <w:tcPr>
            <w:tcW w:w="7516" w:type="dxa"/>
            <w:tcBorders>
              <w:top w:val="nil"/>
              <w:bottom w:val="nil"/>
            </w:tcBorders>
          </w:tcPr>
          <w:p w14:paraId="78D278D3" w14:textId="77777777" w:rsidR="004D48D2" w:rsidRPr="003D4EB3" w:rsidRDefault="004D48D2" w:rsidP="008911A2">
            <w:pPr>
              <w:widowControl/>
              <w:autoSpaceDE/>
              <w:autoSpaceDN/>
              <w:rPr>
                <w:lang w:val="it-IT"/>
              </w:rPr>
            </w:pPr>
            <w:r w:rsidRPr="003D4EB3">
              <w:rPr>
                <w:lang w:val="it-IT"/>
              </w:rPr>
              <w:t xml:space="preserve">3) analisi, in base al </w:t>
            </w:r>
            <w:r w:rsidRPr="003D4EB3">
              <w:rPr>
                <w:i/>
                <w:lang w:val="it-IT"/>
              </w:rPr>
              <w:t xml:space="preserve">Common procurement </w:t>
            </w:r>
            <w:proofErr w:type="spellStart"/>
            <w:r w:rsidRPr="003D4EB3">
              <w:rPr>
                <w:i/>
                <w:lang w:val="it-IT"/>
              </w:rPr>
              <w:t>vocabulary</w:t>
            </w:r>
            <w:proofErr w:type="spellEnd"/>
            <w:r w:rsidRPr="003D4EB3">
              <w:rPr>
                <w:i/>
                <w:lang w:val="it-IT"/>
              </w:rPr>
              <w:t xml:space="preserve"> </w:t>
            </w:r>
            <w:r w:rsidRPr="003D4EB3">
              <w:rPr>
                <w:lang w:val="it-IT"/>
              </w:rPr>
              <w:t>(CPV), degli affidamenti con procedure negoziate, sia avvalendosi di procedure informatiche a disposizione delle singole amministrazioni che del Portale dei dati aperti di ANAC. Ciò al fine di verificare da parte delle strutture e/o soggetti competenti se gli operatori economici aggiudicatari siano sempre i medesimi e se gli affidamenti della stessa natura sono stati artificiosamente frazionati;</w:t>
            </w:r>
          </w:p>
        </w:tc>
      </w:tr>
      <w:tr w:rsidR="004D48D2" w:rsidRPr="003D4EB3" w14:paraId="1F0441ED" w14:textId="77777777" w:rsidTr="008911A2">
        <w:trPr>
          <w:trHeight w:val="1260"/>
        </w:trPr>
        <w:tc>
          <w:tcPr>
            <w:tcW w:w="3212" w:type="dxa"/>
            <w:tcBorders>
              <w:top w:val="nil"/>
              <w:bottom w:val="nil"/>
            </w:tcBorders>
            <w:shd w:val="clear" w:color="auto" w:fill="2D74B5"/>
          </w:tcPr>
          <w:p w14:paraId="60F2F9BD" w14:textId="77777777" w:rsidR="004D48D2" w:rsidRPr="003D4EB3" w:rsidRDefault="004D48D2" w:rsidP="008911A2">
            <w:pPr>
              <w:widowControl/>
              <w:autoSpaceDE/>
              <w:autoSpaceDN/>
              <w:rPr>
                <w:lang w:val="it-IT"/>
              </w:rPr>
            </w:pPr>
          </w:p>
        </w:tc>
        <w:tc>
          <w:tcPr>
            <w:tcW w:w="3022" w:type="dxa"/>
            <w:vMerge/>
            <w:tcBorders>
              <w:top w:val="nil"/>
            </w:tcBorders>
          </w:tcPr>
          <w:p w14:paraId="6463A5EB" w14:textId="77777777" w:rsidR="004D48D2" w:rsidRPr="003D4EB3" w:rsidRDefault="004D48D2" w:rsidP="008911A2">
            <w:pPr>
              <w:widowControl/>
              <w:autoSpaceDE/>
              <w:autoSpaceDN/>
              <w:rPr>
                <w:lang w:val="it-IT"/>
              </w:rPr>
            </w:pPr>
          </w:p>
        </w:tc>
        <w:tc>
          <w:tcPr>
            <w:tcW w:w="7516" w:type="dxa"/>
            <w:tcBorders>
              <w:top w:val="nil"/>
              <w:bottom w:val="nil"/>
            </w:tcBorders>
          </w:tcPr>
          <w:p w14:paraId="5DE1158A" w14:textId="77777777" w:rsidR="004D48D2" w:rsidRPr="003D4EB3" w:rsidRDefault="004D48D2" w:rsidP="008911A2">
            <w:pPr>
              <w:widowControl/>
              <w:autoSpaceDE/>
              <w:autoSpaceDN/>
              <w:rPr>
                <w:lang w:val="it-IT"/>
              </w:rPr>
            </w:pPr>
            <w:r w:rsidRPr="003D4EB3">
              <w:rPr>
                <w:lang w:val="it-IT"/>
              </w:rPr>
              <w:t>4) analisi delle procedure in cui si rileva l’invito ad un numero di operatori economici inferiore a quello previsto dalla norma per le soglie di riferimento.</w:t>
            </w:r>
          </w:p>
        </w:tc>
      </w:tr>
      <w:tr w:rsidR="004D48D2" w:rsidRPr="003D4EB3" w14:paraId="6349038E" w14:textId="77777777" w:rsidTr="008911A2">
        <w:trPr>
          <w:trHeight w:val="3558"/>
        </w:trPr>
        <w:tc>
          <w:tcPr>
            <w:tcW w:w="3212" w:type="dxa"/>
            <w:tcBorders>
              <w:top w:val="nil"/>
              <w:bottom w:val="nil"/>
            </w:tcBorders>
            <w:shd w:val="clear" w:color="auto" w:fill="2D74B5"/>
          </w:tcPr>
          <w:p w14:paraId="0161DF11" w14:textId="77777777" w:rsidR="004D48D2" w:rsidRPr="003D4EB3" w:rsidRDefault="004D48D2" w:rsidP="008911A2">
            <w:pPr>
              <w:widowControl/>
              <w:autoSpaceDE/>
              <w:autoSpaceDN/>
              <w:rPr>
                <w:lang w:val="it-IT"/>
              </w:rPr>
            </w:pPr>
          </w:p>
        </w:tc>
        <w:tc>
          <w:tcPr>
            <w:tcW w:w="3022" w:type="dxa"/>
            <w:vMerge/>
            <w:tcBorders>
              <w:top w:val="nil"/>
            </w:tcBorders>
          </w:tcPr>
          <w:p w14:paraId="22B74AF8" w14:textId="77777777" w:rsidR="004D48D2" w:rsidRPr="003D4EB3" w:rsidRDefault="004D48D2" w:rsidP="008911A2">
            <w:pPr>
              <w:widowControl/>
              <w:autoSpaceDE/>
              <w:autoSpaceDN/>
              <w:rPr>
                <w:lang w:val="it-IT"/>
              </w:rPr>
            </w:pPr>
          </w:p>
        </w:tc>
        <w:tc>
          <w:tcPr>
            <w:tcW w:w="7516" w:type="dxa"/>
            <w:tcBorders>
              <w:top w:val="nil"/>
              <w:bottom w:val="nil"/>
            </w:tcBorders>
          </w:tcPr>
          <w:p w14:paraId="6CC3E3FC" w14:textId="77777777" w:rsidR="004D48D2" w:rsidRPr="003D4EB3" w:rsidRDefault="004D48D2" w:rsidP="008911A2">
            <w:pPr>
              <w:widowControl/>
              <w:autoSpaceDE/>
              <w:autoSpaceDN/>
              <w:rPr>
                <w:b/>
                <w:lang w:val="it-IT"/>
              </w:rPr>
            </w:pPr>
          </w:p>
          <w:p w14:paraId="320E225C" w14:textId="77777777" w:rsidR="004D48D2" w:rsidRPr="003D4EB3" w:rsidRDefault="004D48D2" w:rsidP="008911A2">
            <w:pPr>
              <w:widowControl/>
              <w:autoSpaceDE/>
              <w:autoSpaceDN/>
              <w:rPr>
                <w:lang w:val="it-IT"/>
              </w:rPr>
            </w:pPr>
          </w:p>
        </w:tc>
      </w:tr>
      <w:tr w:rsidR="004D48D2" w:rsidRPr="003D4EB3" w14:paraId="4B77C965" w14:textId="77777777" w:rsidTr="008911A2">
        <w:trPr>
          <w:trHeight w:val="742"/>
        </w:trPr>
        <w:tc>
          <w:tcPr>
            <w:tcW w:w="3212" w:type="dxa"/>
            <w:tcBorders>
              <w:top w:val="nil"/>
            </w:tcBorders>
            <w:shd w:val="clear" w:color="auto" w:fill="2D74B5"/>
          </w:tcPr>
          <w:p w14:paraId="031A3A27" w14:textId="77777777" w:rsidR="004D48D2" w:rsidRPr="003D4EB3" w:rsidRDefault="004D48D2" w:rsidP="008911A2">
            <w:pPr>
              <w:widowControl/>
              <w:autoSpaceDE/>
              <w:autoSpaceDN/>
              <w:rPr>
                <w:lang w:val="it-IT"/>
              </w:rPr>
            </w:pPr>
          </w:p>
        </w:tc>
        <w:tc>
          <w:tcPr>
            <w:tcW w:w="3022" w:type="dxa"/>
            <w:vMerge/>
            <w:tcBorders>
              <w:top w:val="nil"/>
            </w:tcBorders>
          </w:tcPr>
          <w:p w14:paraId="20359C4C" w14:textId="77777777" w:rsidR="004D48D2" w:rsidRPr="003D4EB3" w:rsidRDefault="004D48D2" w:rsidP="008911A2">
            <w:pPr>
              <w:widowControl/>
              <w:autoSpaceDE/>
              <w:autoSpaceDN/>
              <w:rPr>
                <w:lang w:val="it-IT"/>
              </w:rPr>
            </w:pPr>
          </w:p>
        </w:tc>
        <w:tc>
          <w:tcPr>
            <w:tcW w:w="7516" w:type="dxa"/>
            <w:tcBorders>
              <w:top w:val="nil"/>
            </w:tcBorders>
          </w:tcPr>
          <w:p w14:paraId="43B9D6F2" w14:textId="77777777" w:rsidR="004D48D2" w:rsidRPr="003D4EB3" w:rsidRDefault="004D48D2" w:rsidP="008911A2">
            <w:pPr>
              <w:widowControl/>
              <w:autoSpaceDE/>
              <w:autoSpaceDN/>
              <w:rPr>
                <w:lang w:val="it-IT"/>
              </w:rPr>
            </w:pPr>
            <w:r w:rsidRPr="003D4EB3">
              <w:rPr>
                <w:lang w:val="it-IT"/>
              </w:rPr>
              <w:t>Il RPCT verifica in sede di monitoraggio la corretta attuazione delle misure programmate.</w:t>
            </w:r>
          </w:p>
        </w:tc>
      </w:tr>
      <w:tr w:rsidR="004D48D2" w:rsidRPr="003D4EB3" w14:paraId="62531A52" w14:textId="77777777" w:rsidTr="008911A2">
        <w:trPr>
          <w:trHeight w:val="3166"/>
        </w:trPr>
        <w:tc>
          <w:tcPr>
            <w:tcW w:w="3212" w:type="dxa"/>
            <w:shd w:val="clear" w:color="auto" w:fill="2D74B5"/>
          </w:tcPr>
          <w:p w14:paraId="4D760C78" w14:textId="77777777" w:rsidR="004D48D2" w:rsidRPr="003D4EB3" w:rsidRDefault="004D48D2" w:rsidP="008911A2">
            <w:pPr>
              <w:widowControl/>
              <w:autoSpaceDE/>
              <w:autoSpaceDN/>
              <w:rPr>
                <w:b/>
                <w:lang w:val="it-IT"/>
              </w:rPr>
            </w:pPr>
          </w:p>
          <w:p w14:paraId="44C93D32" w14:textId="77777777" w:rsidR="004D48D2" w:rsidRPr="003D4EB3" w:rsidRDefault="004D48D2" w:rsidP="008911A2">
            <w:pPr>
              <w:widowControl/>
              <w:autoSpaceDE/>
              <w:autoSpaceDN/>
              <w:rPr>
                <w:b/>
                <w:lang w:val="it-IT"/>
              </w:rPr>
            </w:pPr>
          </w:p>
          <w:p w14:paraId="773D8CB0" w14:textId="77777777" w:rsidR="004D48D2" w:rsidRPr="003D4EB3" w:rsidRDefault="004D48D2" w:rsidP="008911A2">
            <w:pPr>
              <w:widowControl/>
              <w:autoSpaceDE/>
              <w:autoSpaceDN/>
              <w:rPr>
                <w:lang w:val="it-IT"/>
              </w:rPr>
            </w:pPr>
            <w:r w:rsidRPr="003D4EB3">
              <w:rPr>
                <w:lang w:val="it-IT"/>
              </w:rPr>
              <w:t>Art. 44 d.lgs. 36/2023 Appalto integrato</w:t>
            </w:r>
          </w:p>
          <w:p w14:paraId="0F4B40DD" w14:textId="77777777" w:rsidR="004D48D2" w:rsidRPr="003D4EB3" w:rsidRDefault="004D48D2" w:rsidP="008911A2">
            <w:pPr>
              <w:widowControl/>
              <w:autoSpaceDE/>
              <w:autoSpaceDN/>
              <w:rPr>
                <w:lang w:val="it-IT"/>
              </w:rPr>
            </w:pPr>
            <w:r w:rsidRPr="003D4EB3">
              <w:rPr>
                <w:lang w:val="it-IT"/>
              </w:rPr>
              <w:t>E’ prevista la possibilità per le stazioni appaltanti di procedere all’affidamento di progettazione ed esecuzione dei lavori sulla base del progetto di fattibilità tecnica ed economica approvato, ad eccezione delle opere di manutenzione ordinaria.</w:t>
            </w:r>
          </w:p>
        </w:tc>
        <w:tc>
          <w:tcPr>
            <w:tcW w:w="3022" w:type="dxa"/>
          </w:tcPr>
          <w:p w14:paraId="55041AC0" w14:textId="77777777" w:rsidR="004D48D2" w:rsidRPr="003D4EB3" w:rsidRDefault="004D48D2" w:rsidP="008911A2">
            <w:pPr>
              <w:widowControl/>
              <w:autoSpaceDE/>
              <w:autoSpaceDN/>
              <w:rPr>
                <w:lang w:val="it-IT"/>
              </w:rPr>
            </w:pPr>
            <w:r w:rsidRPr="003D4EB3">
              <w:rPr>
                <w:lang w:val="it-IT"/>
              </w:rPr>
              <w:t>Rischio</w:t>
            </w:r>
            <w:r w:rsidRPr="003D4EB3">
              <w:rPr>
                <w:lang w:val="it-IT"/>
              </w:rPr>
              <w:tab/>
              <w:t>connesso</w:t>
            </w:r>
          </w:p>
          <w:p w14:paraId="198327FF" w14:textId="77777777" w:rsidR="004D48D2" w:rsidRPr="003D4EB3" w:rsidRDefault="004D48D2" w:rsidP="008911A2">
            <w:pPr>
              <w:widowControl/>
              <w:autoSpaceDE/>
              <w:autoSpaceDN/>
              <w:rPr>
                <w:lang w:val="it-IT"/>
              </w:rPr>
            </w:pPr>
            <w:r w:rsidRPr="003D4EB3">
              <w:rPr>
                <w:lang w:val="it-IT"/>
              </w:rPr>
              <w:t>all’elaborazione da parte della</w:t>
            </w:r>
          </w:p>
          <w:p w14:paraId="57A218DC" w14:textId="77777777" w:rsidR="004D48D2" w:rsidRPr="003D4EB3" w:rsidRDefault="004D48D2" w:rsidP="008911A2">
            <w:pPr>
              <w:widowControl/>
              <w:autoSpaceDE/>
              <w:autoSpaceDN/>
              <w:rPr>
                <w:lang w:val="it-IT"/>
              </w:rPr>
            </w:pPr>
            <w:r w:rsidRPr="003D4EB3">
              <w:rPr>
                <w:lang w:val="it-IT"/>
              </w:rPr>
              <w:t>S.A. di un progetto di fattibilità carente o per il quale non si proceda ad una accurata verifica, confidando nei successivi livelli di progettazione posti a cura dell’impresa aggiudicataria per correggere eventuali errori e/o sopperire a carenze, anche tramite varianti in corso d’opera.</w:t>
            </w:r>
          </w:p>
        </w:tc>
        <w:tc>
          <w:tcPr>
            <w:tcW w:w="7516" w:type="dxa"/>
          </w:tcPr>
          <w:p w14:paraId="00A084BF" w14:textId="77777777" w:rsidR="004D48D2" w:rsidRPr="003D4EB3" w:rsidRDefault="004D48D2" w:rsidP="008911A2">
            <w:pPr>
              <w:widowControl/>
              <w:autoSpaceDE/>
              <w:autoSpaceDN/>
            </w:pPr>
            <w:r w:rsidRPr="003D4EB3">
              <w:rPr>
                <w:lang w:val="it-IT"/>
              </w:rPr>
              <w:t xml:space="preserve">Comunicazione del RUP dell’approvazione del progetto redatto dall’impresa che presenta un incremento di costo e di tempi rispetto a quanto previsto nel progetto posto a base di gara per eventuali verifiche a campione sulle relative modifiche e motivazioni. </w:t>
            </w:r>
            <w:proofErr w:type="spellStart"/>
            <w:r w:rsidRPr="003D4EB3">
              <w:t>Saranno</w:t>
            </w:r>
            <w:proofErr w:type="spellEnd"/>
            <w:r w:rsidRPr="003D4EB3">
              <w:t xml:space="preserve"> </w:t>
            </w:r>
            <w:proofErr w:type="spellStart"/>
            <w:r w:rsidRPr="003D4EB3">
              <w:t>oggetto</w:t>
            </w:r>
            <w:proofErr w:type="spellEnd"/>
            <w:r w:rsidRPr="003D4EB3">
              <w:t xml:space="preserve"> di </w:t>
            </w:r>
            <w:proofErr w:type="spellStart"/>
            <w:r w:rsidRPr="003D4EB3">
              <w:t>particolare</w:t>
            </w:r>
            <w:proofErr w:type="spellEnd"/>
            <w:r w:rsidRPr="003D4EB3">
              <w:t xml:space="preserve"> </w:t>
            </w:r>
            <w:proofErr w:type="spellStart"/>
            <w:r w:rsidRPr="003D4EB3">
              <w:t>attenzione</w:t>
            </w:r>
            <w:proofErr w:type="spellEnd"/>
            <w:r w:rsidRPr="003D4EB3">
              <w:t xml:space="preserve"> le </w:t>
            </w:r>
            <w:proofErr w:type="spellStart"/>
            <w:r w:rsidRPr="003D4EB3">
              <w:t>seguenti</w:t>
            </w:r>
            <w:proofErr w:type="spellEnd"/>
            <w:r w:rsidRPr="003D4EB3">
              <w:t xml:space="preserve"> </w:t>
            </w:r>
            <w:proofErr w:type="spellStart"/>
            <w:r w:rsidRPr="003D4EB3">
              <w:t>situazioni</w:t>
            </w:r>
            <w:proofErr w:type="spellEnd"/>
            <w:r w:rsidRPr="003D4EB3">
              <w:t>:</w:t>
            </w:r>
          </w:p>
          <w:p w14:paraId="2911382E" w14:textId="77777777" w:rsidR="004D48D2" w:rsidRPr="003D4EB3" w:rsidRDefault="004D48D2" w:rsidP="008911A2">
            <w:pPr>
              <w:widowControl/>
              <w:autoSpaceDE/>
              <w:autoSpaceDN/>
              <w:rPr>
                <w:b/>
              </w:rPr>
            </w:pPr>
          </w:p>
          <w:p w14:paraId="14A4F74F" w14:textId="77777777" w:rsidR="004D48D2" w:rsidRPr="003D4EB3" w:rsidRDefault="004D48D2" w:rsidP="008911A2">
            <w:pPr>
              <w:widowControl/>
              <w:autoSpaceDE/>
              <w:autoSpaceDN/>
              <w:rPr>
                <w:b/>
              </w:rPr>
            </w:pPr>
          </w:p>
          <w:p w14:paraId="17B05254" w14:textId="77777777" w:rsidR="004D48D2" w:rsidRPr="003D4EB3" w:rsidRDefault="004D48D2" w:rsidP="008911A2">
            <w:pPr>
              <w:widowControl/>
              <w:autoSpaceDE/>
              <w:autoSpaceDN/>
              <w:rPr>
                <w:i/>
              </w:rPr>
            </w:pPr>
          </w:p>
        </w:tc>
      </w:tr>
    </w:tbl>
    <w:p w14:paraId="2925AE05" w14:textId="77777777" w:rsidR="004D48D2" w:rsidRPr="003D4EB3" w:rsidRDefault="004D48D2" w:rsidP="004D48D2">
      <w:pPr>
        <w:sectPr w:rsidR="004D48D2" w:rsidRPr="003D4EB3" w:rsidSect="00C44B1C">
          <w:pgSz w:w="16840" w:h="11910" w:orient="landscape"/>
          <w:pgMar w:top="880" w:right="1420" w:bottom="740" w:left="900" w:header="0" w:footer="793"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022"/>
        <w:gridCol w:w="7336"/>
      </w:tblGrid>
      <w:tr w:rsidR="004D48D2" w:rsidRPr="003D4EB3" w14:paraId="61403CE7" w14:textId="77777777" w:rsidTr="008911A2">
        <w:trPr>
          <w:trHeight w:val="6106"/>
        </w:trPr>
        <w:tc>
          <w:tcPr>
            <w:tcW w:w="3212" w:type="dxa"/>
            <w:shd w:val="clear" w:color="auto" w:fill="2D74B5"/>
          </w:tcPr>
          <w:p w14:paraId="2591B91B" w14:textId="77777777" w:rsidR="004D48D2" w:rsidRPr="003D4EB3" w:rsidRDefault="004D48D2" w:rsidP="008911A2">
            <w:pPr>
              <w:widowControl/>
              <w:autoSpaceDE/>
              <w:autoSpaceDN/>
            </w:pPr>
          </w:p>
        </w:tc>
        <w:tc>
          <w:tcPr>
            <w:tcW w:w="3022" w:type="dxa"/>
          </w:tcPr>
          <w:p w14:paraId="6276F8A1" w14:textId="77777777" w:rsidR="004D48D2" w:rsidRPr="003D4EB3" w:rsidRDefault="004D48D2" w:rsidP="008911A2">
            <w:pPr>
              <w:widowControl/>
              <w:autoSpaceDE/>
              <w:autoSpaceDN/>
              <w:rPr>
                <w:b/>
                <w:lang w:val="it-IT"/>
              </w:rPr>
            </w:pPr>
          </w:p>
          <w:p w14:paraId="092D1EB2" w14:textId="77777777" w:rsidR="004D48D2" w:rsidRPr="003D4EB3" w:rsidRDefault="004D48D2" w:rsidP="008911A2">
            <w:pPr>
              <w:widowControl/>
              <w:autoSpaceDE/>
              <w:autoSpaceDN/>
              <w:rPr>
                <w:b/>
                <w:lang w:val="it-IT"/>
              </w:rPr>
            </w:pPr>
          </w:p>
          <w:p w14:paraId="22FF3CDA" w14:textId="77777777" w:rsidR="004D48D2" w:rsidRPr="003D4EB3" w:rsidRDefault="004D48D2" w:rsidP="008911A2">
            <w:pPr>
              <w:widowControl/>
              <w:autoSpaceDE/>
              <w:autoSpaceDN/>
              <w:rPr>
                <w:b/>
                <w:lang w:val="it-IT"/>
              </w:rPr>
            </w:pPr>
          </w:p>
          <w:p w14:paraId="34CE34CA" w14:textId="77777777" w:rsidR="004D48D2" w:rsidRPr="003D4EB3" w:rsidRDefault="004D48D2" w:rsidP="008911A2">
            <w:pPr>
              <w:widowControl/>
              <w:autoSpaceDE/>
              <w:autoSpaceDN/>
              <w:rPr>
                <w:b/>
                <w:lang w:val="it-IT"/>
              </w:rPr>
            </w:pPr>
          </w:p>
          <w:p w14:paraId="65CBE8B2" w14:textId="77777777" w:rsidR="004D48D2" w:rsidRPr="003D4EB3" w:rsidRDefault="004D48D2" w:rsidP="008911A2">
            <w:pPr>
              <w:widowControl/>
              <w:autoSpaceDE/>
              <w:autoSpaceDN/>
              <w:rPr>
                <w:b/>
                <w:lang w:val="it-IT"/>
              </w:rPr>
            </w:pPr>
          </w:p>
          <w:p w14:paraId="5AAAE129" w14:textId="77777777" w:rsidR="004D48D2" w:rsidRPr="003D4EB3" w:rsidRDefault="004D48D2" w:rsidP="008911A2">
            <w:pPr>
              <w:widowControl/>
              <w:autoSpaceDE/>
              <w:autoSpaceDN/>
              <w:rPr>
                <w:b/>
                <w:lang w:val="it-IT"/>
              </w:rPr>
            </w:pPr>
          </w:p>
          <w:p w14:paraId="688CBC55" w14:textId="77777777" w:rsidR="004D48D2" w:rsidRPr="003D4EB3" w:rsidRDefault="004D48D2" w:rsidP="008911A2">
            <w:pPr>
              <w:widowControl/>
              <w:autoSpaceDE/>
              <w:autoSpaceDN/>
              <w:rPr>
                <w:lang w:val="it-IT"/>
              </w:rPr>
            </w:pPr>
            <w:r w:rsidRPr="003D4EB3">
              <w:rPr>
                <w:lang w:val="it-IT"/>
              </w:rPr>
              <w:t>Proposta progettuale elaborata dall’operatore economico in un’ottica di massimizzazione del proprio profitto a detrimento del soddisfacimento dell’interesse pubblico sotteso.</w:t>
            </w:r>
          </w:p>
          <w:p w14:paraId="7A21EBEE" w14:textId="77777777" w:rsidR="004D48D2" w:rsidRPr="003D4EB3" w:rsidRDefault="004D48D2" w:rsidP="008911A2">
            <w:pPr>
              <w:widowControl/>
              <w:autoSpaceDE/>
              <w:autoSpaceDN/>
              <w:rPr>
                <w:b/>
                <w:lang w:val="it-IT"/>
              </w:rPr>
            </w:pPr>
          </w:p>
          <w:p w14:paraId="02650E9D" w14:textId="77777777" w:rsidR="004D48D2" w:rsidRPr="003D4EB3" w:rsidRDefault="004D48D2" w:rsidP="008911A2">
            <w:pPr>
              <w:widowControl/>
              <w:autoSpaceDE/>
              <w:autoSpaceDN/>
              <w:rPr>
                <w:lang w:val="it-IT"/>
              </w:rPr>
            </w:pPr>
            <w:r w:rsidRPr="003D4EB3">
              <w:rPr>
                <w:lang w:val="it-IT"/>
              </w:rPr>
              <w:t>Incremento del rischio connesso a carenze progettuali che comportino modifiche e/o varianti e proroghe, sia in sede di redazione del progetto esecutivo che nella successiva fase realizzativa, con conseguenti maggiori costi di realizzazione delle opere e il dilatarsi dei tempi della loro attuazione.</w:t>
            </w:r>
          </w:p>
        </w:tc>
        <w:tc>
          <w:tcPr>
            <w:tcW w:w="7336" w:type="dxa"/>
          </w:tcPr>
          <w:p w14:paraId="79EE47F7" w14:textId="77777777" w:rsidR="004D48D2" w:rsidRPr="003D4EB3" w:rsidRDefault="004D48D2" w:rsidP="008911A2">
            <w:pPr>
              <w:widowControl/>
              <w:autoSpaceDE/>
              <w:autoSpaceDN/>
              <w:rPr>
                <w:b/>
                <w:lang w:val="it-IT"/>
              </w:rPr>
            </w:pPr>
          </w:p>
          <w:p w14:paraId="454BD202" w14:textId="77777777" w:rsidR="004D48D2" w:rsidRPr="003D4EB3" w:rsidRDefault="004D48D2" w:rsidP="004D48D2">
            <w:pPr>
              <w:widowControl/>
              <w:numPr>
                <w:ilvl w:val="0"/>
                <w:numId w:val="2"/>
              </w:numPr>
              <w:autoSpaceDE/>
              <w:autoSpaceDN/>
              <w:rPr>
                <w:lang w:val="it-IT"/>
              </w:rPr>
            </w:pPr>
            <w:r w:rsidRPr="003D4EB3">
              <w:rPr>
                <w:lang w:val="it-IT"/>
              </w:rPr>
              <w:t>incremento contrattuale intorno o superiore al 50% dell’importo iniziale;</w:t>
            </w:r>
          </w:p>
          <w:p w14:paraId="08C46A46" w14:textId="77777777" w:rsidR="004D48D2" w:rsidRPr="003D4EB3" w:rsidRDefault="004D48D2" w:rsidP="004D48D2">
            <w:pPr>
              <w:widowControl/>
              <w:numPr>
                <w:ilvl w:val="0"/>
                <w:numId w:val="2"/>
              </w:numPr>
              <w:autoSpaceDE/>
              <w:autoSpaceDN/>
              <w:rPr>
                <w:lang w:val="it-IT"/>
              </w:rPr>
            </w:pPr>
            <w:r w:rsidRPr="003D4EB3">
              <w:rPr>
                <w:lang w:val="it-IT"/>
              </w:rPr>
              <w:t>sospensioni che determinano un incremento dei termini superiori al 25% di quelli inizialmente previsti;</w:t>
            </w:r>
          </w:p>
          <w:p w14:paraId="722DC735" w14:textId="77777777" w:rsidR="004D48D2" w:rsidRPr="003D4EB3" w:rsidRDefault="004D48D2" w:rsidP="004D48D2">
            <w:pPr>
              <w:widowControl/>
              <w:numPr>
                <w:ilvl w:val="0"/>
                <w:numId w:val="2"/>
              </w:numPr>
              <w:autoSpaceDE/>
              <w:autoSpaceDN/>
              <w:rPr>
                <w:lang w:val="it-IT"/>
              </w:rPr>
            </w:pPr>
            <w:r w:rsidRPr="003D4EB3">
              <w:rPr>
                <w:lang w:val="it-IT"/>
              </w:rPr>
              <w:t>modifiche e/o variazioni di natura sostanziale anche se contenute nell’importo contrattuale.</w:t>
            </w:r>
          </w:p>
        </w:tc>
      </w:tr>
      <w:tr w:rsidR="004D48D2" w:rsidRPr="003D4EB3" w14:paraId="0ABD4840" w14:textId="77777777" w:rsidTr="008911A2">
        <w:trPr>
          <w:trHeight w:val="7807"/>
        </w:trPr>
        <w:tc>
          <w:tcPr>
            <w:tcW w:w="3212" w:type="dxa"/>
            <w:shd w:val="clear" w:color="auto" w:fill="2D74B5"/>
          </w:tcPr>
          <w:p w14:paraId="786D6579" w14:textId="77777777" w:rsidR="004D48D2" w:rsidRPr="003D4EB3" w:rsidRDefault="004D48D2" w:rsidP="008911A2">
            <w:pPr>
              <w:widowControl/>
              <w:autoSpaceDE/>
              <w:autoSpaceDN/>
              <w:rPr>
                <w:b/>
                <w:lang w:val="it-IT"/>
              </w:rPr>
            </w:pPr>
          </w:p>
          <w:p w14:paraId="17DAC0F4" w14:textId="77777777" w:rsidR="004D48D2" w:rsidRPr="003D4EB3" w:rsidRDefault="004D48D2" w:rsidP="008911A2">
            <w:pPr>
              <w:widowControl/>
              <w:autoSpaceDE/>
              <w:autoSpaceDN/>
              <w:rPr>
                <w:lang w:val="it-IT"/>
              </w:rPr>
            </w:pPr>
            <w:r w:rsidRPr="003D4EB3">
              <w:rPr>
                <w:lang w:val="it-IT"/>
              </w:rPr>
              <w:t>Art. 119, d.lgs. n. 36/2023 Disciplina del subappalto</w:t>
            </w:r>
          </w:p>
          <w:p w14:paraId="3E291CFE" w14:textId="77777777" w:rsidR="004D48D2" w:rsidRPr="003D4EB3" w:rsidRDefault="004D48D2" w:rsidP="008911A2">
            <w:pPr>
              <w:widowControl/>
              <w:autoSpaceDE/>
              <w:autoSpaceDN/>
              <w:rPr>
                <w:lang w:val="it-IT"/>
              </w:rPr>
            </w:pPr>
            <w:r w:rsidRPr="003D4EB3">
              <w:rPr>
                <w:lang w:val="it-IT"/>
              </w:rPr>
              <w:t>È nullo l'accordo con cui sia affidata a terzi l’integrale esecuzione delle prestazioni o lavorazioni appaltate, nonché la prevalente esecuzione delle lavorazioni relative alla categoria prevalente e dei contratti ad alta intensità di manodopera.</w:t>
            </w:r>
          </w:p>
        </w:tc>
        <w:tc>
          <w:tcPr>
            <w:tcW w:w="3022" w:type="dxa"/>
          </w:tcPr>
          <w:p w14:paraId="4A4A19A2" w14:textId="77777777" w:rsidR="004D48D2" w:rsidRPr="003D4EB3" w:rsidRDefault="004D48D2" w:rsidP="008911A2">
            <w:pPr>
              <w:widowControl/>
              <w:autoSpaceDE/>
              <w:autoSpaceDN/>
              <w:rPr>
                <w:lang w:val="it-IT"/>
              </w:rPr>
            </w:pPr>
            <w:r w:rsidRPr="003D4EB3">
              <w:rPr>
                <w:lang w:val="it-IT"/>
              </w:rPr>
              <w:t>Incremento dei condizionamenti sulla realizzazione complessiva dell’appalto correlati al venir meno dei limiti al subappalto.</w:t>
            </w:r>
          </w:p>
          <w:p w14:paraId="17C64222" w14:textId="77777777" w:rsidR="004D48D2" w:rsidRPr="003D4EB3" w:rsidRDefault="004D48D2" w:rsidP="008911A2">
            <w:pPr>
              <w:widowControl/>
              <w:autoSpaceDE/>
              <w:autoSpaceDN/>
              <w:rPr>
                <w:lang w:val="it-IT"/>
              </w:rPr>
            </w:pPr>
            <w:r w:rsidRPr="003D4EB3">
              <w:rPr>
                <w:lang w:val="it-IT"/>
              </w:rPr>
              <w:t>Incremento del rischio di possibili accordi collusivi tra le imprese partecipanti a una gara volti a manipolarne gli esiti, utilizzando il meccanismo del subappalto, sia di “primo livello” che di “secondo livello” ove consentito dalla S.A. (subappalto c.d. “a cascata”), come modalità per distribuire i vantaggi dell’accordo ad altri partecipanti alla stessa gara.</w:t>
            </w:r>
          </w:p>
          <w:p w14:paraId="2BE3C382" w14:textId="77777777" w:rsidR="004D48D2" w:rsidRPr="003D4EB3" w:rsidRDefault="004D48D2" w:rsidP="008911A2">
            <w:pPr>
              <w:widowControl/>
              <w:autoSpaceDE/>
              <w:autoSpaceDN/>
              <w:rPr>
                <w:lang w:val="it-IT"/>
              </w:rPr>
            </w:pPr>
            <w:r w:rsidRPr="003D4EB3">
              <w:rPr>
                <w:lang w:val="it-IT"/>
              </w:rPr>
              <w:t>Rilascio dell’autorizzazione al subappalto in assenza dei controlli previsti dalla norma.</w:t>
            </w:r>
          </w:p>
          <w:p w14:paraId="5BD00BB2" w14:textId="77777777" w:rsidR="004D48D2" w:rsidRPr="003D4EB3" w:rsidRDefault="004D48D2" w:rsidP="008911A2">
            <w:pPr>
              <w:widowControl/>
              <w:autoSpaceDE/>
              <w:autoSpaceDN/>
              <w:rPr>
                <w:b/>
                <w:lang w:val="it-IT"/>
              </w:rPr>
            </w:pPr>
          </w:p>
          <w:p w14:paraId="575D91B7" w14:textId="77777777" w:rsidR="004D48D2" w:rsidRPr="003D4EB3" w:rsidRDefault="004D48D2" w:rsidP="008911A2">
            <w:pPr>
              <w:widowControl/>
              <w:autoSpaceDE/>
              <w:autoSpaceDN/>
              <w:rPr>
                <w:lang w:val="it-IT"/>
              </w:rPr>
            </w:pPr>
            <w:r w:rsidRPr="003D4EB3">
              <w:rPr>
                <w:lang w:val="it-IT"/>
              </w:rPr>
              <w:t>Consentire il subappalto a cascata di prestazioni soggette a rischio di infiltrazioni criminali.</w:t>
            </w:r>
          </w:p>
          <w:p w14:paraId="3BAC0275" w14:textId="77777777" w:rsidR="004D48D2" w:rsidRPr="003D4EB3" w:rsidRDefault="004D48D2" w:rsidP="008911A2">
            <w:pPr>
              <w:widowControl/>
              <w:autoSpaceDE/>
              <w:autoSpaceDN/>
              <w:rPr>
                <w:b/>
                <w:lang w:val="it-IT"/>
              </w:rPr>
            </w:pPr>
          </w:p>
          <w:p w14:paraId="50E70856" w14:textId="77777777" w:rsidR="004D48D2" w:rsidRPr="003D4EB3" w:rsidRDefault="004D48D2" w:rsidP="008911A2">
            <w:pPr>
              <w:widowControl/>
              <w:autoSpaceDE/>
              <w:autoSpaceDN/>
              <w:rPr>
                <w:b/>
                <w:lang w:val="it-IT"/>
              </w:rPr>
            </w:pPr>
          </w:p>
          <w:p w14:paraId="4A37B02C" w14:textId="77777777" w:rsidR="004D48D2" w:rsidRPr="003D4EB3" w:rsidRDefault="004D48D2" w:rsidP="008911A2">
            <w:pPr>
              <w:widowControl/>
              <w:autoSpaceDE/>
              <w:autoSpaceDN/>
              <w:rPr>
                <w:b/>
                <w:lang w:val="it-IT"/>
              </w:rPr>
            </w:pPr>
          </w:p>
          <w:p w14:paraId="556E5529" w14:textId="77777777" w:rsidR="004D48D2" w:rsidRPr="003D4EB3" w:rsidRDefault="004D48D2" w:rsidP="008911A2">
            <w:pPr>
              <w:widowControl/>
              <w:autoSpaceDE/>
              <w:autoSpaceDN/>
              <w:rPr>
                <w:b/>
                <w:lang w:val="it-IT"/>
              </w:rPr>
            </w:pPr>
          </w:p>
          <w:p w14:paraId="04C5E32F" w14:textId="77777777" w:rsidR="004D48D2" w:rsidRPr="003D4EB3" w:rsidRDefault="004D48D2" w:rsidP="008911A2">
            <w:pPr>
              <w:widowControl/>
              <w:autoSpaceDE/>
              <w:autoSpaceDN/>
              <w:rPr>
                <w:b/>
                <w:lang w:val="it-IT"/>
              </w:rPr>
            </w:pPr>
          </w:p>
          <w:p w14:paraId="36A93B05" w14:textId="77777777" w:rsidR="004D48D2" w:rsidRPr="003D4EB3" w:rsidRDefault="004D48D2" w:rsidP="008911A2">
            <w:pPr>
              <w:widowControl/>
              <w:autoSpaceDE/>
              <w:autoSpaceDN/>
              <w:rPr>
                <w:b/>
                <w:lang w:val="it-IT"/>
              </w:rPr>
            </w:pPr>
          </w:p>
          <w:p w14:paraId="154A0A75" w14:textId="77777777" w:rsidR="004D48D2" w:rsidRPr="003D4EB3" w:rsidRDefault="004D48D2" w:rsidP="008911A2">
            <w:pPr>
              <w:widowControl/>
              <w:autoSpaceDE/>
              <w:autoSpaceDN/>
              <w:rPr>
                <w:lang w:val="it-IT"/>
              </w:rPr>
            </w:pPr>
            <w:r w:rsidRPr="003D4EB3">
              <w:rPr>
                <w:lang w:val="it-IT"/>
              </w:rPr>
              <w:t>Comunicazione</w:t>
            </w:r>
            <w:r w:rsidRPr="003D4EB3">
              <w:rPr>
                <w:lang w:val="it-IT"/>
              </w:rPr>
              <w:tab/>
              <w:t>obbligatoria dell’O.E. relativa ai sub contratti che non sono subappalti ai sensi dell’art. 105, co. 2, del Codice, effettuata con dolo al fine di</w:t>
            </w:r>
          </w:p>
        </w:tc>
        <w:tc>
          <w:tcPr>
            <w:tcW w:w="7336" w:type="dxa"/>
          </w:tcPr>
          <w:p w14:paraId="547FE399" w14:textId="77777777" w:rsidR="004D48D2" w:rsidRPr="003D4EB3" w:rsidRDefault="004D48D2" w:rsidP="008911A2">
            <w:pPr>
              <w:widowControl/>
              <w:autoSpaceDE/>
              <w:autoSpaceDN/>
              <w:rPr>
                <w:lang w:val="it-IT"/>
              </w:rPr>
            </w:pPr>
          </w:p>
          <w:p w14:paraId="494B4E28" w14:textId="77777777" w:rsidR="004D48D2" w:rsidRPr="003D4EB3" w:rsidRDefault="004D48D2" w:rsidP="008911A2">
            <w:pPr>
              <w:widowControl/>
              <w:autoSpaceDE/>
              <w:autoSpaceDN/>
              <w:rPr>
                <w:b/>
                <w:lang w:val="it-IT"/>
              </w:rPr>
            </w:pPr>
          </w:p>
          <w:p w14:paraId="69022BBF" w14:textId="77777777" w:rsidR="004D48D2" w:rsidRPr="003D4EB3" w:rsidRDefault="004D48D2" w:rsidP="008911A2">
            <w:pPr>
              <w:widowControl/>
              <w:autoSpaceDE/>
              <w:autoSpaceDN/>
              <w:rPr>
                <w:b/>
                <w:lang w:val="it-IT"/>
              </w:rPr>
            </w:pPr>
          </w:p>
          <w:p w14:paraId="135528B7" w14:textId="77777777" w:rsidR="004D48D2" w:rsidRPr="003D4EB3" w:rsidRDefault="004D48D2" w:rsidP="008911A2">
            <w:pPr>
              <w:widowControl/>
              <w:autoSpaceDE/>
              <w:autoSpaceDN/>
              <w:rPr>
                <w:b/>
                <w:lang w:val="it-IT"/>
              </w:rPr>
            </w:pPr>
          </w:p>
          <w:p w14:paraId="45079E4A" w14:textId="77777777" w:rsidR="004D48D2" w:rsidRPr="003D4EB3" w:rsidRDefault="004D48D2" w:rsidP="008911A2">
            <w:pPr>
              <w:widowControl/>
              <w:autoSpaceDE/>
              <w:autoSpaceDN/>
              <w:rPr>
                <w:b/>
                <w:lang w:val="it-IT"/>
              </w:rPr>
            </w:pPr>
          </w:p>
          <w:p w14:paraId="5050645C" w14:textId="77777777" w:rsidR="004D48D2" w:rsidRPr="003D4EB3" w:rsidRDefault="004D48D2" w:rsidP="008911A2">
            <w:pPr>
              <w:widowControl/>
              <w:autoSpaceDE/>
              <w:autoSpaceDN/>
              <w:rPr>
                <w:b/>
                <w:lang w:val="it-IT"/>
              </w:rPr>
            </w:pPr>
          </w:p>
          <w:p w14:paraId="3726F158" w14:textId="77777777" w:rsidR="004D48D2" w:rsidRPr="003D4EB3" w:rsidRDefault="004D48D2" w:rsidP="008911A2">
            <w:pPr>
              <w:widowControl/>
              <w:autoSpaceDE/>
              <w:autoSpaceDN/>
              <w:rPr>
                <w:b/>
                <w:lang w:val="it-IT"/>
              </w:rPr>
            </w:pPr>
          </w:p>
          <w:p w14:paraId="6C05813A" w14:textId="77777777" w:rsidR="004D48D2" w:rsidRPr="003D4EB3" w:rsidRDefault="004D48D2" w:rsidP="008911A2">
            <w:pPr>
              <w:widowControl/>
              <w:autoSpaceDE/>
              <w:autoSpaceDN/>
              <w:rPr>
                <w:b/>
                <w:lang w:val="it-IT"/>
              </w:rPr>
            </w:pPr>
          </w:p>
          <w:p w14:paraId="2A3B7A1E" w14:textId="77777777" w:rsidR="004D48D2" w:rsidRPr="003D4EB3" w:rsidRDefault="004D48D2" w:rsidP="008911A2">
            <w:pPr>
              <w:widowControl/>
              <w:autoSpaceDE/>
              <w:autoSpaceDN/>
              <w:rPr>
                <w:b/>
                <w:lang w:val="it-IT"/>
              </w:rPr>
            </w:pPr>
          </w:p>
          <w:p w14:paraId="46C8A80A" w14:textId="77777777" w:rsidR="004D48D2" w:rsidRPr="003D4EB3" w:rsidRDefault="004D48D2" w:rsidP="008911A2">
            <w:pPr>
              <w:widowControl/>
              <w:autoSpaceDE/>
              <w:autoSpaceDN/>
              <w:rPr>
                <w:b/>
                <w:lang w:val="it-IT"/>
              </w:rPr>
            </w:pPr>
          </w:p>
          <w:p w14:paraId="1AE36AFE" w14:textId="77777777" w:rsidR="004D48D2" w:rsidRPr="003D4EB3" w:rsidRDefault="004D48D2" w:rsidP="008911A2">
            <w:pPr>
              <w:widowControl/>
              <w:autoSpaceDE/>
              <w:autoSpaceDN/>
              <w:rPr>
                <w:b/>
                <w:lang w:val="it-IT"/>
              </w:rPr>
            </w:pPr>
          </w:p>
          <w:p w14:paraId="218C4035" w14:textId="77777777" w:rsidR="004D48D2" w:rsidRPr="003D4EB3" w:rsidRDefault="004D48D2" w:rsidP="008911A2">
            <w:pPr>
              <w:widowControl/>
              <w:autoSpaceDE/>
              <w:autoSpaceDN/>
              <w:rPr>
                <w:b/>
                <w:lang w:val="it-IT"/>
              </w:rPr>
            </w:pPr>
          </w:p>
          <w:p w14:paraId="1C87F1FF" w14:textId="77777777" w:rsidR="004D48D2" w:rsidRPr="003D4EB3" w:rsidRDefault="004D48D2" w:rsidP="008911A2">
            <w:pPr>
              <w:widowControl/>
              <w:autoSpaceDE/>
              <w:autoSpaceDN/>
              <w:rPr>
                <w:b/>
                <w:lang w:val="it-IT"/>
              </w:rPr>
            </w:pPr>
          </w:p>
          <w:p w14:paraId="265B74B7" w14:textId="77777777" w:rsidR="004D48D2" w:rsidRPr="003D4EB3" w:rsidRDefault="004D48D2" w:rsidP="008911A2">
            <w:pPr>
              <w:widowControl/>
              <w:autoSpaceDE/>
              <w:autoSpaceDN/>
              <w:rPr>
                <w:b/>
                <w:lang w:val="it-IT"/>
              </w:rPr>
            </w:pPr>
          </w:p>
          <w:p w14:paraId="1D996959" w14:textId="77777777" w:rsidR="004D48D2" w:rsidRPr="003D4EB3" w:rsidRDefault="004D48D2" w:rsidP="008911A2">
            <w:pPr>
              <w:widowControl/>
              <w:autoSpaceDE/>
              <w:autoSpaceDN/>
              <w:rPr>
                <w:lang w:val="it-IT"/>
              </w:rPr>
            </w:pPr>
            <w:r w:rsidRPr="003D4EB3">
              <w:rPr>
                <w:lang w:val="it-IT"/>
              </w:rPr>
              <w:t>Attenta valutazione delle attività/prestazioni maggiormente a rischio di infiltrazione criminale per le quali, ai sensi del comma 17 dell’art. 119, sarebbe sconsigliato il subappalto a cascata.</w:t>
            </w:r>
          </w:p>
          <w:p w14:paraId="216B3F25" w14:textId="77777777" w:rsidR="004D48D2" w:rsidRPr="003D4EB3" w:rsidRDefault="004D48D2" w:rsidP="008911A2">
            <w:pPr>
              <w:widowControl/>
              <w:autoSpaceDE/>
              <w:autoSpaceDN/>
              <w:rPr>
                <w:b/>
                <w:lang w:val="it-IT"/>
              </w:rPr>
            </w:pPr>
          </w:p>
          <w:p w14:paraId="2A6230AE" w14:textId="77777777" w:rsidR="004D48D2" w:rsidRPr="003D4EB3" w:rsidRDefault="004D48D2" w:rsidP="008911A2">
            <w:pPr>
              <w:widowControl/>
              <w:autoSpaceDE/>
              <w:autoSpaceDN/>
              <w:rPr>
                <w:b/>
                <w:lang w:val="it-IT"/>
              </w:rPr>
            </w:pPr>
          </w:p>
          <w:p w14:paraId="13F24C92" w14:textId="77777777" w:rsidR="004D48D2" w:rsidRPr="003D4EB3" w:rsidRDefault="004D48D2" w:rsidP="008911A2">
            <w:pPr>
              <w:widowControl/>
              <w:autoSpaceDE/>
              <w:autoSpaceDN/>
              <w:rPr>
                <w:b/>
                <w:lang w:val="it-IT"/>
              </w:rPr>
            </w:pPr>
          </w:p>
          <w:p w14:paraId="517029D8" w14:textId="77777777" w:rsidR="004D48D2" w:rsidRPr="003D4EB3" w:rsidRDefault="004D48D2" w:rsidP="008911A2">
            <w:pPr>
              <w:widowControl/>
              <w:autoSpaceDE/>
              <w:autoSpaceDN/>
            </w:pPr>
            <w:r w:rsidRPr="003D4EB3">
              <w:rPr>
                <w:lang w:val="it-IT"/>
              </w:rPr>
              <w:t xml:space="preserve">Analisi degli appalti rispetto ai quali è stato autorizzato, in un dato arco temporale, il ricorso all’istituto del subappalto. </w:t>
            </w:r>
            <w:proofErr w:type="spellStart"/>
            <w:r w:rsidRPr="003D4EB3">
              <w:t>Ciò</w:t>
            </w:r>
            <w:proofErr w:type="spellEnd"/>
            <w:r w:rsidRPr="003D4EB3">
              <w:t xml:space="preserve"> per </w:t>
            </w:r>
            <w:proofErr w:type="spellStart"/>
            <w:r w:rsidRPr="003D4EB3">
              <w:t>consentire</w:t>
            </w:r>
            <w:proofErr w:type="spellEnd"/>
            <w:r w:rsidRPr="003D4EB3">
              <w:t xml:space="preserve"> </w:t>
            </w:r>
            <w:proofErr w:type="spellStart"/>
            <w:r w:rsidRPr="003D4EB3">
              <w:t>all’ente</w:t>
            </w:r>
            <w:proofErr w:type="spellEnd"/>
          </w:p>
          <w:p w14:paraId="57023522" w14:textId="77777777" w:rsidR="004D48D2" w:rsidRPr="003D4EB3" w:rsidRDefault="004D48D2" w:rsidP="008911A2">
            <w:pPr>
              <w:widowControl/>
              <w:autoSpaceDE/>
              <w:autoSpaceDN/>
            </w:pPr>
          </w:p>
        </w:tc>
      </w:tr>
    </w:tbl>
    <w:p w14:paraId="1A896C22" w14:textId="77777777" w:rsidR="004D48D2" w:rsidRPr="003D4EB3" w:rsidRDefault="004D48D2" w:rsidP="004D48D2">
      <w:pPr>
        <w:sectPr w:rsidR="004D48D2" w:rsidRPr="003D4EB3" w:rsidSect="00C44B1C">
          <w:pgSz w:w="16840" w:h="11910" w:orient="landscape"/>
          <w:pgMar w:top="880" w:right="1420" w:bottom="740" w:left="900" w:header="0" w:footer="713"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022"/>
        <w:gridCol w:w="7246"/>
      </w:tblGrid>
      <w:tr w:rsidR="004D48D2" w:rsidRPr="003D4EB3" w14:paraId="7E458845" w14:textId="77777777" w:rsidTr="008911A2">
        <w:trPr>
          <w:trHeight w:val="3616"/>
        </w:trPr>
        <w:tc>
          <w:tcPr>
            <w:tcW w:w="3212" w:type="dxa"/>
            <w:shd w:val="clear" w:color="auto" w:fill="2D74B5"/>
          </w:tcPr>
          <w:p w14:paraId="250626A0" w14:textId="77777777" w:rsidR="004D48D2" w:rsidRPr="003D4EB3" w:rsidRDefault="004D48D2" w:rsidP="008911A2">
            <w:pPr>
              <w:widowControl/>
              <w:autoSpaceDE/>
              <w:autoSpaceDN/>
            </w:pPr>
          </w:p>
        </w:tc>
        <w:tc>
          <w:tcPr>
            <w:tcW w:w="3022" w:type="dxa"/>
          </w:tcPr>
          <w:p w14:paraId="78048C88" w14:textId="77777777" w:rsidR="004D48D2" w:rsidRPr="003D4EB3" w:rsidRDefault="004D48D2" w:rsidP="008911A2">
            <w:pPr>
              <w:widowControl/>
              <w:autoSpaceDE/>
              <w:autoSpaceDN/>
              <w:rPr>
                <w:lang w:val="it-IT"/>
              </w:rPr>
            </w:pPr>
            <w:r w:rsidRPr="003D4EB3">
              <w:rPr>
                <w:lang w:val="it-IT"/>
              </w:rPr>
              <w:t>eludere i controlli più stringenti previsti per il subappalto.</w:t>
            </w:r>
          </w:p>
          <w:p w14:paraId="61903763" w14:textId="77777777" w:rsidR="004D48D2" w:rsidRPr="003D4EB3" w:rsidRDefault="004D48D2" w:rsidP="008911A2">
            <w:pPr>
              <w:widowControl/>
              <w:autoSpaceDE/>
              <w:autoSpaceDN/>
              <w:rPr>
                <w:b/>
                <w:lang w:val="it-IT"/>
              </w:rPr>
            </w:pPr>
          </w:p>
          <w:p w14:paraId="74A9C613" w14:textId="77777777" w:rsidR="004D48D2" w:rsidRPr="003D4EB3" w:rsidRDefault="004D48D2" w:rsidP="008911A2">
            <w:pPr>
              <w:widowControl/>
              <w:autoSpaceDE/>
              <w:autoSpaceDN/>
              <w:rPr>
                <w:b/>
                <w:lang w:val="it-IT"/>
              </w:rPr>
            </w:pPr>
          </w:p>
          <w:p w14:paraId="3020C36F" w14:textId="77777777" w:rsidR="004D48D2" w:rsidRPr="003D4EB3" w:rsidRDefault="004D48D2" w:rsidP="008911A2">
            <w:pPr>
              <w:widowControl/>
              <w:autoSpaceDE/>
              <w:autoSpaceDN/>
              <w:rPr>
                <w:b/>
                <w:lang w:val="it-IT"/>
              </w:rPr>
            </w:pPr>
          </w:p>
          <w:p w14:paraId="73F64EF7" w14:textId="77777777" w:rsidR="004D48D2" w:rsidRPr="003D4EB3" w:rsidRDefault="004D48D2" w:rsidP="008911A2">
            <w:pPr>
              <w:widowControl/>
              <w:autoSpaceDE/>
              <w:autoSpaceDN/>
              <w:rPr>
                <w:b/>
                <w:lang w:val="it-IT"/>
              </w:rPr>
            </w:pPr>
          </w:p>
          <w:p w14:paraId="4B404B2C" w14:textId="77777777" w:rsidR="004D48D2" w:rsidRPr="003D4EB3" w:rsidRDefault="004D48D2" w:rsidP="008911A2">
            <w:pPr>
              <w:widowControl/>
              <w:autoSpaceDE/>
              <w:autoSpaceDN/>
              <w:rPr>
                <w:lang w:val="it-IT"/>
              </w:rPr>
            </w:pPr>
            <w:r w:rsidRPr="003D4EB3">
              <w:rPr>
                <w:lang w:val="it-IT"/>
              </w:rPr>
              <w:t>Omissione di controlli in sede esecutiva da parte del DL o del DEC sullo svolgimento delle prestazioni dedotte in contratto da parte del solo personale autorizzato con la possibile conseguente prestazione svolta da personale/operatori economici non autorizzati.</w:t>
            </w:r>
          </w:p>
        </w:tc>
        <w:tc>
          <w:tcPr>
            <w:tcW w:w="7246" w:type="dxa"/>
          </w:tcPr>
          <w:p w14:paraId="7C90B11F" w14:textId="77777777" w:rsidR="004D48D2" w:rsidRPr="003D4EB3" w:rsidRDefault="004D48D2" w:rsidP="008911A2">
            <w:pPr>
              <w:widowControl/>
              <w:autoSpaceDE/>
              <w:autoSpaceDN/>
              <w:rPr>
                <w:lang w:val="it-IT"/>
              </w:rPr>
            </w:pPr>
            <w:r w:rsidRPr="003D4EB3">
              <w:rPr>
                <w:lang w:val="it-IT"/>
              </w:rPr>
              <w:t>di svolgere, a campione verifiche della conformità alla norma delle autorizzazioni al subappalto concesse dal RUP.</w:t>
            </w:r>
          </w:p>
          <w:p w14:paraId="55E7DFCE" w14:textId="77777777" w:rsidR="004D48D2" w:rsidRPr="003D4EB3" w:rsidRDefault="004D48D2" w:rsidP="008911A2">
            <w:pPr>
              <w:widowControl/>
              <w:autoSpaceDE/>
              <w:autoSpaceDN/>
              <w:rPr>
                <w:b/>
                <w:lang w:val="it-IT"/>
              </w:rPr>
            </w:pPr>
          </w:p>
          <w:p w14:paraId="3B81D141" w14:textId="77777777" w:rsidR="004D48D2" w:rsidRPr="003D4EB3" w:rsidRDefault="004D48D2" w:rsidP="008911A2">
            <w:pPr>
              <w:widowControl/>
              <w:autoSpaceDE/>
              <w:autoSpaceDN/>
              <w:rPr>
                <w:lang w:val="it-IT"/>
              </w:rPr>
            </w:pPr>
            <w:r w:rsidRPr="003D4EB3">
              <w:rPr>
                <w:lang w:val="it-IT"/>
              </w:rPr>
              <w:t>Verifica da parte dell’ente dell’adeguato rispetto degli adempimenti di legge da parte del DL/DEC e RUP con riferimento allo svolgimento della vigilanza in sede esecutiva con specifico riguardo ai subappalti autorizzati e ai sub contratti comunicati.</w:t>
            </w:r>
          </w:p>
        </w:tc>
      </w:tr>
      <w:tr w:rsidR="004D48D2" w:rsidRPr="003D4EB3" w14:paraId="6D6F7938" w14:textId="77777777" w:rsidTr="008911A2">
        <w:trPr>
          <w:trHeight w:val="3920"/>
        </w:trPr>
        <w:tc>
          <w:tcPr>
            <w:tcW w:w="3212" w:type="dxa"/>
            <w:shd w:val="clear" w:color="auto" w:fill="2D74B5"/>
          </w:tcPr>
          <w:p w14:paraId="4C89C137" w14:textId="77777777" w:rsidR="004D48D2" w:rsidRPr="003D4EB3" w:rsidRDefault="004D48D2" w:rsidP="008911A2">
            <w:pPr>
              <w:widowControl/>
              <w:autoSpaceDE/>
              <w:autoSpaceDN/>
              <w:rPr>
                <w:lang w:val="en-GB"/>
              </w:rPr>
            </w:pPr>
            <w:r w:rsidRPr="003D4EB3">
              <w:rPr>
                <w:lang w:val="en-GB"/>
              </w:rPr>
              <w:t xml:space="preserve">Art. 215, </w:t>
            </w:r>
            <w:proofErr w:type="spellStart"/>
            <w:r w:rsidRPr="003D4EB3">
              <w:rPr>
                <w:lang w:val="en-GB"/>
              </w:rPr>
              <w:t>d.lgs</w:t>
            </w:r>
            <w:proofErr w:type="spellEnd"/>
            <w:r w:rsidRPr="003D4EB3">
              <w:rPr>
                <w:lang w:val="en-GB"/>
              </w:rPr>
              <w:t>. n. 36/2023 e All. V.2</w:t>
            </w:r>
          </w:p>
          <w:p w14:paraId="5BC64873" w14:textId="77777777" w:rsidR="004D48D2" w:rsidRPr="003D4EB3" w:rsidRDefault="004D48D2" w:rsidP="008911A2">
            <w:pPr>
              <w:widowControl/>
              <w:autoSpaceDE/>
              <w:autoSpaceDN/>
              <w:rPr>
                <w:b/>
                <w:lang w:val="en-GB"/>
              </w:rPr>
            </w:pPr>
          </w:p>
          <w:p w14:paraId="60D64C13" w14:textId="77777777" w:rsidR="004D48D2" w:rsidRPr="003D4EB3" w:rsidRDefault="004D48D2" w:rsidP="008911A2">
            <w:pPr>
              <w:widowControl/>
              <w:autoSpaceDE/>
              <w:autoSpaceDN/>
              <w:rPr>
                <w:lang w:val="it-IT"/>
              </w:rPr>
            </w:pPr>
            <w:r w:rsidRPr="003D4EB3">
              <w:rPr>
                <w:lang w:val="it-IT"/>
              </w:rPr>
              <w:t>Disciplina del Collegio consultivo tecnico (CCT)</w:t>
            </w:r>
          </w:p>
          <w:p w14:paraId="18316F1D" w14:textId="77777777" w:rsidR="004D48D2" w:rsidRPr="003D4EB3" w:rsidRDefault="004D48D2" w:rsidP="008911A2">
            <w:pPr>
              <w:widowControl/>
              <w:autoSpaceDE/>
              <w:autoSpaceDN/>
              <w:rPr>
                <w:lang w:val="it-IT"/>
              </w:rPr>
            </w:pPr>
            <w:r w:rsidRPr="003D4EB3">
              <w:rPr>
                <w:lang w:val="it-IT"/>
              </w:rPr>
              <w:t>Per servizi e forniture di importo pari o superiore a 1 milione € e per lavori diretti alla realizzazione delle opere pubbliche di importo pari o superiore alle soglie comunitarie è obbligatoria, presso ogni stazione appaltante, la costituzione di un CCT, per la rapida risoluzione delle eventuali controversie in corso di esecuzione, prima dell'avvio dell'esecuzione o entro 10 giorni da tale data</w:t>
            </w:r>
          </w:p>
        </w:tc>
        <w:tc>
          <w:tcPr>
            <w:tcW w:w="3022" w:type="dxa"/>
          </w:tcPr>
          <w:p w14:paraId="3B8068D4" w14:textId="77777777" w:rsidR="004D48D2" w:rsidRPr="003D4EB3" w:rsidRDefault="004D48D2" w:rsidP="008911A2">
            <w:pPr>
              <w:widowControl/>
              <w:autoSpaceDE/>
              <w:autoSpaceDN/>
              <w:rPr>
                <w:lang w:val="it-IT"/>
              </w:rPr>
            </w:pPr>
            <w:r w:rsidRPr="003D4EB3">
              <w:rPr>
                <w:lang w:val="it-IT"/>
              </w:rPr>
              <w:t>Nomina di soggetti che non garantiscono la necessaria indipendenza rispetto alle parti interessate (SA o impresa) anche al fine di ottenere vantaggi dalla posizione ricoperta.</w:t>
            </w:r>
          </w:p>
        </w:tc>
        <w:tc>
          <w:tcPr>
            <w:tcW w:w="7246" w:type="dxa"/>
          </w:tcPr>
          <w:p w14:paraId="484256D2" w14:textId="77777777" w:rsidR="004D48D2" w:rsidRPr="003D4EB3" w:rsidRDefault="004D48D2" w:rsidP="008911A2">
            <w:pPr>
              <w:widowControl/>
              <w:autoSpaceDE/>
              <w:autoSpaceDN/>
              <w:rPr>
                <w:lang w:val="it-IT"/>
              </w:rPr>
            </w:pPr>
            <w:r w:rsidRPr="003D4EB3">
              <w:rPr>
                <w:lang w:val="it-IT"/>
              </w:rPr>
              <w:t>Pubblicazione dei dati relativi ai componenti del Collegio consultivo tecnico ai sensi dell’art. 28 d.lgs. n. 36/2023 (cfr. LLGG MIT sul Collegio consultivo tecnico approvate con Decreto 17 gennaio 2022 n. 12, pubblicate sulla GURI n. 55 del 7 marzo 2022).</w:t>
            </w:r>
          </w:p>
          <w:p w14:paraId="34098CE8" w14:textId="77777777" w:rsidR="004D48D2" w:rsidRPr="003D4EB3" w:rsidRDefault="004D48D2" w:rsidP="008911A2">
            <w:pPr>
              <w:widowControl/>
              <w:autoSpaceDE/>
              <w:autoSpaceDN/>
              <w:rPr>
                <w:lang w:val="it-IT"/>
              </w:rPr>
            </w:pPr>
            <w:r w:rsidRPr="003D4EB3">
              <w:rPr>
                <w:lang w:val="it-IT"/>
              </w:rPr>
              <w:t xml:space="preserve">Controlli sulle dichiarazioni rese ai sensi dell’art. 16 del d.lgs. n. 36/2016 in materia di conflitti di interessi da parte dei componenti del CCT (cfr. anche LLGG MIT sul Collegio consultivo tecnico approvate con Decreto 17 gennaio 2022 n. 12 e Parte speciale, </w:t>
            </w:r>
            <w:r w:rsidRPr="003D4EB3">
              <w:rPr>
                <w:i/>
                <w:lang w:val="it-IT"/>
              </w:rPr>
              <w:t>Conflitti di interessi in materia di contratti pubblici</w:t>
            </w:r>
            <w:r w:rsidRPr="003D4EB3">
              <w:rPr>
                <w:lang w:val="it-IT"/>
              </w:rPr>
              <w:t>, § 3.1, del PNA 2022)</w:t>
            </w:r>
          </w:p>
        </w:tc>
      </w:tr>
    </w:tbl>
    <w:p w14:paraId="688A4A7C" w14:textId="77777777" w:rsidR="004D48D2" w:rsidRPr="003D4EB3" w:rsidRDefault="004D48D2" w:rsidP="004D48D2">
      <w:pPr>
        <w:rPr>
          <w:b/>
        </w:rPr>
      </w:pPr>
    </w:p>
    <w:p w14:paraId="1C585BAE" w14:textId="77777777" w:rsidR="004D48D2" w:rsidRPr="003D4EB3" w:rsidRDefault="004D48D2" w:rsidP="004D48D2">
      <w:pPr>
        <w:rPr>
          <w:b/>
        </w:rPr>
      </w:pPr>
    </w:p>
    <w:p w14:paraId="04C1D385" w14:textId="77777777" w:rsidR="004D48D2" w:rsidRPr="003D4EB3" w:rsidRDefault="004D48D2" w:rsidP="004D48D2">
      <w:pPr>
        <w:rPr>
          <w:b/>
        </w:rPr>
      </w:pPr>
    </w:p>
    <w:p w14:paraId="1ADC365D" w14:textId="77777777" w:rsidR="004D48D2" w:rsidRPr="003D4EB3" w:rsidRDefault="004D48D2" w:rsidP="004D48D2">
      <w:pPr>
        <w:rPr>
          <w:b/>
        </w:rPr>
      </w:pPr>
    </w:p>
    <w:p w14:paraId="0D1E453C" w14:textId="77777777" w:rsidR="004D48D2" w:rsidRPr="003D4EB3" w:rsidRDefault="004D48D2" w:rsidP="004D48D2">
      <w:pPr>
        <w:rPr>
          <w:b/>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022"/>
        <w:gridCol w:w="7721"/>
      </w:tblGrid>
      <w:tr w:rsidR="004D48D2" w:rsidRPr="003D4EB3" w14:paraId="4D552DAF" w14:textId="77777777" w:rsidTr="008911A2">
        <w:trPr>
          <w:trHeight w:val="565"/>
        </w:trPr>
        <w:tc>
          <w:tcPr>
            <w:tcW w:w="13955" w:type="dxa"/>
            <w:gridSpan w:val="3"/>
            <w:shd w:val="clear" w:color="auto" w:fill="2D74B5"/>
          </w:tcPr>
          <w:p w14:paraId="5D52D228" w14:textId="77777777" w:rsidR="004D48D2" w:rsidRPr="003D4EB3" w:rsidRDefault="004D48D2" w:rsidP="008911A2">
            <w:pPr>
              <w:widowControl/>
              <w:autoSpaceDE/>
              <w:autoSpaceDN/>
              <w:rPr>
                <w:lang w:val="it-IT"/>
              </w:rPr>
            </w:pPr>
            <w:r w:rsidRPr="003D4EB3">
              <w:rPr>
                <w:lang w:val="it-IT"/>
              </w:rPr>
              <w:t xml:space="preserve">Norme del </w:t>
            </w:r>
            <w:proofErr w:type="spellStart"/>
            <w:r w:rsidRPr="003D4EB3">
              <w:rPr>
                <w:lang w:val="it-IT"/>
              </w:rPr>
              <w:t>d.l.</w:t>
            </w:r>
            <w:proofErr w:type="spellEnd"/>
            <w:r w:rsidRPr="003D4EB3">
              <w:rPr>
                <w:lang w:val="it-IT"/>
              </w:rPr>
              <w:t xml:space="preserve"> n. 77 del 2021 </w:t>
            </w:r>
            <w:proofErr w:type="spellStart"/>
            <w:r w:rsidRPr="003D4EB3">
              <w:rPr>
                <w:lang w:val="it-IT"/>
              </w:rPr>
              <w:t>conv</w:t>
            </w:r>
            <w:proofErr w:type="spellEnd"/>
            <w:r w:rsidRPr="003D4EB3">
              <w:rPr>
                <w:lang w:val="it-IT"/>
              </w:rPr>
              <w:t>. in l. n. 108/2021 relative ai contratti pubblici finanziati in tutto o in parte con le risorse del PNRR</w:t>
            </w:r>
          </w:p>
        </w:tc>
      </w:tr>
      <w:tr w:rsidR="004D48D2" w:rsidRPr="003D4EB3" w14:paraId="4FE8A00D" w14:textId="77777777" w:rsidTr="008911A2">
        <w:trPr>
          <w:trHeight w:val="440"/>
        </w:trPr>
        <w:tc>
          <w:tcPr>
            <w:tcW w:w="3212" w:type="dxa"/>
            <w:shd w:val="clear" w:color="auto" w:fill="2D74B5"/>
          </w:tcPr>
          <w:p w14:paraId="57C674A7" w14:textId="77777777" w:rsidR="004D48D2" w:rsidRPr="003D4EB3" w:rsidRDefault="004D48D2" w:rsidP="008911A2">
            <w:pPr>
              <w:widowControl/>
              <w:autoSpaceDE/>
              <w:autoSpaceDN/>
              <w:rPr>
                <w:b/>
              </w:rPr>
            </w:pPr>
            <w:r w:rsidRPr="003D4EB3">
              <w:rPr>
                <w:b/>
              </w:rPr>
              <w:t>Norma</w:t>
            </w:r>
          </w:p>
        </w:tc>
        <w:tc>
          <w:tcPr>
            <w:tcW w:w="3022" w:type="dxa"/>
            <w:shd w:val="clear" w:color="auto" w:fill="2D74B5"/>
          </w:tcPr>
          <w:p w14:paraId="737621F3" w14:textId="77777777" w:rsidR="004D48D2" w:rsidRPr="003D4EB3" w:rsidRDefault="004D48D2" w:rsidP="008911A2">
            <w:pPr>
              <w:widowControl/>
              <w:autoSpaceDE/>
              <w:autoSpaceDN/>
              <w:rPr>
                <w:b/>
              </w:rPr>
            </w:pPr>
            <w:proofErr w:type="spellStart"/>
            <w:r w:rsidRPr="003D4EB3">
              <w:rPr>
                <w:b/>
              </w:rPr>
              <w:t>Possibili</w:t>
            </w:r>
            <w:proofErr w:type="spellEnd"/>
            <w:r w:rsidRPr="003D4EB3">
              <w:rPr>
                <w:b/>
              </w:rPr>
              <w:t xml:space="preserve"> </w:t>
            </w:r>
            <w:proofErr w:type="spellStart"/>
            <w:r w:rsidRPr="003D4EB3">
              <w:rPr>
                <w:b/>
              </w:rPr>
              <w:t>eventi</w:t>
            </w:r>
            <w:proofErr w:type="spellEnd"/>
            <w:r w:rsidRPr="003D4EB3">
              <w:rPr>
                <w:b/>
              </w:rPr>
              <w:t xml:space="preserve"> </w:t>
            </w:r>
            <w:proofErr w:type="spellStart"/>
            <w:r w:rsidRPr="003D4EB3">
              <w:rPr>
                <w:b/>
              </w:rPr>
              <w:t>rischiosi</w:t>
            </w:r>
            <w:proofErr w:type="spellEnd"/>
          </w:p>
        </w:tc>
        <w:tc>
          <w:tcPr>
            <w:tcW w:w="7721" w:type="dxa"/>
            <w:shd w:val="clear" w:color="auto" w:fill="2D74B5"/>
          </w:tcPr>
          <w:p w14:paraId="16016E14" w14:textId="77777777" w:rsidR="004D48D2" w:rsidRPr="003D4EB3" w:rsidRDefault="004D48D2" w:rsidP="008911A2">
            <w:pPr>
              <w:widowControl/>
              <w:autoSpaceDE/>
              <w:autoSpaceDN/>
              <w:rPr>
                <w:b/>
              </w:rPr>
            </w:pPr>
            <w:proofErr w:type="spellStart"/>
            <w:r w:rsidRPr="003D4EB3">
              <w:rPr>
                <w:b/>
              </w:rPr>
              <w:t>Possibili</w:t>
            </w:r>
            <w:proofErr w:type="spellEnd"/>
            <w:r w:rsidRPr="003D4EB3">
              <w:rPr>
                <w:b/>
              </w:rPr>
              <w:t xml:space="preserve"> </w:t>
            </w:r>
            <w:proofErr w:type="spellStart"/>
            <w:r w:rsidRPr="003D4EB3">
              <w:rPr>
                <w:b/>
              </w:rPr>
              <w:t>Misure</w:t>
            </w:r>
            <w:proofErr w:type="spellEnd"/>
          </w:p>
        </w:tc>
      </w:tr>
      <w:tr w:rsidR="004D48D2" w:rsidRPr="003D4EB3" w14:paraId="281201E7" w14:textId="77777777" w:rsidTr="008911A2">
        <w:trPr>
          <w:trHeight w:val="3766"/>
        </w:trPr>
        <w:tc>
          <w:tcPr>
            <w:tcW w:w="3212" w:type="dxa"/>
            <w:shd w:val="clear" w:color="auto" w:fill="2D74B5"/>
          </w:tcPr>
          <w:p w14:paraId="2A50E1B3" w14:textId="77777777" w:rsidR="004D48D2" w:rsidRPr="003D4EB3" w:rsidRDefault="004D48D2" w:rsidP="008911A2">
            <w:pPr>
              <w:widowControl/>
              <w:autoSpaceDE/>
              <w:autoSpaceDN/>
              <w:rPr>
                <w:b/>
                <w:lang w:val="it-IT"/>
              </w:rPr>
            </w:pPr>
          </w:p>
          <w:p w14:paraId="7BEF54BC" w14:textId="77777777" w:rsidR="004D48D2" w:rsidRPr="003D4EB3" w:rsidRDefault="004D48D2" w:rsidP="008911A2">
            <w:pPr>
              <w:widowControl/>
              <w:autoSpaceDE/>
              <w:autoSpaceDN/>
              <w:rPr>
                <w:lang w:val="it-IT"/>
              </w:rPr>
            </w:pPr>
            <w:r w:rsidRPr="003D4EB3">
              <w:rPr>
                <w:lang w:val="it-IT"/>
              </w:rPr>
              <w:t xml:space="preserve">Art. 48 co. 3, </w:t>
            </w:r>
            <w:proofErr w:type="spellStart"/>
            <w:r w:rsidRPr="003D4EB3">
              <w:rPr>
                <w:lang w:val="it-IT"/>
              </w:rPr>
              <w:t>d.l.</w:t>
            </w:r>
            <w:proofErr w:type="spellEnd"/>
            <w:r w:rsidRPr="003D4EB3">
              <w:rPr>
                <w:lang w:val="it-IT"/>
              </w:rPr>
              <w:t xml:space="preserve"> n. 77/2021</w:t>
            </w:r>
          </w:p>
          <w:p w14:paraId="27929FCB" w14:textId="77777777" w:rsidR="004D48D2" w:rsidRPr="003D4EB3" w:rsidRDefault="004D48D2" w:rsidP="008911A2">
            <w:pPr>
              <w:widowControl/>
              <w:autoSpaceDE/>
              <w:autoSpaceDN/>
              <w:rPr>
                <w:b/>
                <w:lang w:val="it-IT"/>
              </w:rPr>
            </w:pPr>
          </w:p>
          <w:p w14:paraId="3F08ED03" w14:textId="77777777" w:rsidR="004D48D2" w:rsidRPr="003D4EB3" w:rsidRDefault="004D48D2" w:rsidP="008911A2">
            <w:pPr>
              <w:widowControl/>
              <w:autoSpaceDE/>
              <w:autoSpaceDN/>
              <w:rPr>
                <w:b/>
                <w:lang w:val="it-IT"/>
              </w:rPr>
            </w:pPr>
          </w:p>
          <w:p w14:paraId="547963C1" w14:textId="77777777" w:rsidR="004D48D2" w:rsidRPr="003D4EB3" w:rsidRDefault="004D48D2" w:rsidP="008911A2">
            <w:pPr>
              <w:widowControl/>
              <w:autoSpaceDE/>
              <w:autoSpaceDN/>
              <w:rPr>
                <w:b/>
                <w:lang w:val="it-IT"/>
              </w:rPr>
            </w:pPr>
          </w:p>
          <w:p w14:paraId="4FF4D0E2" w14:textId="77777777" w:rsidR="004D48D2" w:rsidRPr="003D4EB3" w:rsidRDefault="004D48D2" w:rsidP="008911A2">
            <w:pPr>
              <w:widowControl/>
              <w:autoSpaceDE/>
              <w:autoSpaceDN/>
              <w:rPr>
                <w:lang w:val="it-IT"/>
              </w:rPr>
            </w:pPr>
            <w:r w:rsidRPr="003D4EB3">
              <w:rPr>
                <w:lang w:val="it-IT"/>
              </w:rPr>
              <w:t>Per la realizzazione degli investimenti di cui al comma 1 le stazioni appaltanti possono altresì ricorrere alla procedura negoziata senza pubblicazione di un bando di gara di cui all</w:t>
            </w:r>
            <w:hyperlink r:id="rId6">
              <w:r w:rsidRPr="003D4EB3">
                <w:rPr>
                  <w:rStyle w:val="Collegamentoipertestuale"/>
                  <w:lang w:val="it-IT"/>
                </w:rPr>
                <w:t>'articolo 63 del decreto</w:t>
              </w:r>
            </w:hyperlink>
            <w:r w:rsidRPr="003D4EB3">
              <w:rPr>
                <w:lang w:val="it-IT"/>
              </w:rPr>
              <w:t xml:space="preserve"> </w:t>
            </w:r>
            <w:hyperlink r:id="rId7">
              <w:r w:rsidRPr="003D4EB3">
                <w:rPr>
                  <w:rStyle w:val="Collegamentoipertestuale"/>
                  <w:lang w:val="it-IT"/>
                </w:rPr>
                <w:t>legislativo n. 50 del 2016</w:t>
              </w:r>
            </w:hyperlink>
            <w:r w:rsidRPr="003D4EB3">
              <w:rPr>
                <w:lang w:val="it-IT"/>
              </w:rPr>
              <w:t>, per i settori ordinari, e di cui all'articolo</w:t>
            </w:r>
          </w:p>
          <w:p w14:paraId="7DFE4BE9" w14:textId="77777777" w:rsidR="004D48D2" w:rsidRPr="003D4EB3" w:rsidRDefault="004D48D2" w:rsidP="008911A2">
            <w:pPr>
              <w:widowControl/>
              <w:autoSpaceDE/>
              <w:autoSpaceDN/>
              <w:rPr>
                <w:lang w:val="it-IT"/>
              </w:rPr>
            </w:pPr>
            <w:r w:rsidRPr="003D4EB3">
              <w:rPr>
                <w:lang w:val="it-IT"/>
              </w:rPr>
              <w:t>125 del medesimo decreto legislativo, per i settori speciali, qualora sussistano i relativi presupposti.</w:t>
            </w:r>
          </w:p>
        </w:tc>
        <w:tc>
          <w:tcPr>
            <w:tcW w:w="3022" w:type="dxa"/>
          </w:tcPr>
          <w:p w14:paraId="1FB3135F" w14:textId="77777777" w:rsidR="004D48D2" w:rsidRPr="003D4EB3" w:rsidRDefault="004D48D2" w:rsidP="008911A2">
            <w:pPr>
              <w:widowControl/>
              <w:autoSpaceDE/>
              <w:autoSpaceDN/>
              <w:rPr>
                <w:lang w:val="it-IT"/>
              </w:rPr>
            </w:pPr>
            <w:r w:rsidRPr="003D4EB3">
              <w:rPr>
                <w:lang w:val="it-IT"/>
              </w:rPr>
              <w:t>Possibile abuso del ricorso alla procedura negoziata di cui agli artt. 63 e 125 del d.lgs. n. 50/2016 in assenza delle condizioni ivi previste, con particolare riferimento alle condizioni di estrema urgenza derivanti da circostanze imprevedibili, non imputabili alla stazione appaltante, e all’assenza di concorrenza per motivi tecnici.</w:t>
            </w:r>
          </w:p>
        </w:tc>
        <w:tc>
          <w:tcPr>
            <w:tcW w:w="7721" w:type="dxa"/>
          </w:tcPr>
          <w:p w14:paraId="33FAE261" w14:textId="77777777" w:rsidR="004D48D2" w:rsidRPr="003D4EB3" w:rsidRDefault="004D48D2" w:rsidP="008911A2">
            <w:pPr>
              <w:widowControl/>
              <w:autoSpaceDE/>
              <w:autoSpaceDN/>
              <w:rPr>
                <w:lang w:val="it-IT"/>
              </w:rPr>
            </w:pPr>
            <w:r w:rsidRPr="003D4EB3">
              <w:rPr>
                <w:lang w:val="it-IT"/>
              </w:rPr>
              <w:t>Chiara e puntuale esplicitazione nella determina a contrarre o atto equivalente delle motivazioni che hanno indotto a ricorrere alla procedura negoziata senza bando. Nel caso di ragioni di estrema urgenza derivanti da circostanze imprevedibili, non imputabili alla stazione appaltante, per cui i termini, anche abbreviati, previsti dalle procedure ordinarie non possono essere rispettati, il richiamo alle condizioni di urgenza non deve essere generico ma supportato da un’analitica trattazione che manifesti l’impossibilità    del    ricorso    alle</w:t>
            </w:r>
          </w:p>
          <w:p w14:paraId="3ACB65ED" w14:textId="77777777" w:rsidR="004D48D2" w:rsidRPr="003D4EB3" w:rsidRDefault="004D48D2" w:rsidP="008911A2">
            <w:pPr>
              <w:widowControl/>
              <w:autoSpaceDE/>
              <w:autoSpaceDN/>
              <w:rPr>
                <w:lang w:val="it-IT"/>
              </w:rPr>
            </w:pPr>
            <w:r w:rsidRPr="003D4EB3">
              <w:rPr>
                <w:lang w:val="it-IT"/>
              </w:rPr>
              <w:t>procedure ordinarie per il rispetto</w:t>
            </w:r>
          </w:p>
        </w:tc>
      </w:tr>
    </w:tbl>
    <w:p w14:paraId="55DFB55C" w14:textId="77777777" w:rsidR="004D48D2" w:rsidRPr="003D4EB3" w:rsidRDefault="004D48D2" w:rsidP="004D48D2">
      <w:pPr>
        <w:sectPr w:rsidR="004D48D2" w:rsidRPr="003D4EB3" w:rsidSect="00C44B1C">
          <w:pgSz w:w="16840" w:h="11910" w:orient="landscape"/>
          <w:pgMar w:top="880" w:right="1420" w:bottom="740" w:left="900" w:header="0" w:footer="793" w:gutter="0"/>
          <w:cols w:space="720"/>
        </w:sectPr>
      </w:pPr>
    </w:p>
    <w:tbl>
      <w:tblPr>
        <w:tblStyle w:val="TableNormal"/>
        <w:tblW w:w="14315"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022"/>
        <w:gridCol w:w="8081"/>
      </w:tblGrid>
      <w:tr w:rsidR="004D48D2" w:rsidRPr="003D4EB3" w14:paraId="4A09E997" w14:textId="77777777" w:rsidTr="008911A2">
        <w:trPr>
          <w:trHeight w:val="1460"/>
        </w:trPr>
        <w:tc>
          <w:tcPr>
            <w:tcW w:w="3212" w:type="dxa"/>
            <w:vMerge w:val="restart"/>
            <w:shd w:val="clear" w:color="auto" w:fill="2D74B5"/>
          </w:tcPr>
          <w:p w14:paraId="023D7E57" w14:textId="77777777" w:rsidR="004D48D2" w:rsidRPr="003D4EB3" w:rsidRDefault="004D48D2" w:rsidP="008911A2">
            <w:pPr>
              <w:widowControl/>
              <w:autoSpaceDE/>
              <w:autoSpaceDN/>
              <w:rPr>
                <w:lang w:val="it-IT"/>
              </w:rPr>
            </w:pPr>
          </w:p>
        </w:tc>
        <w:tc>
          <w:tcPr>
            <w:tcW w:w="3022" w:type="dxa"/>
          </w:tcPr>
          <w:p w14:paraId="0C248303" w14:textId="77777777" w:rsidR="004D48D2" w:rsidRPr="003D4EB3" w:rsidRDefault="004D48D2" w:rsidP="008911A2">
            <w:pPr>
              <w:widowControl/>
              <w:autoSpaceDE/>
              <w:autoSpaceDN/>
              <w:rPr>
                <w:lang w:val="it-IT"/>
              </w:rPr>
            </w:pPr>
          </w:p>
        </w:tc>
        <w:tc>
          <w:tcPr>
            <w:tcW w:w="8081" w:type="dxa"/>
          </w:tcPr>
          <w:p w14:paraId="6FC2AE6E" w14:textId="77777777" w:rsidR="004D48D2" w:rsidRPr="003D4EB3" w:rsidRDefault="004D48D2" w:rsidP="008911A2">
            <w:pPr>
              <w:widowControl/>
              <w:autoSpaceDE/>
              <w:autoSpaceDN/>
              <w:rPr>
                <w:lang w:val="it-IT"/>
              </w:rPr>
            </w:pPr>
            <w:r w:rsidRPr="003D4EB3">
              <w:rPr>
                <w:lang w:val="it-IT"/>
              </w:rPr>
              <w:t>dei tempi di attuazione degli interventi.</w:t>
            </w:r>
          </w:p>
          <w:p w14:paraId="1AAAA678" w14:textId="77777777" w:rsidR="004D48D2" w:rsidRPr="003D4EB3" w:rsidRDefault="004D48D2" w:rsidP="008911A2">
            <w:pPr>
              <w:widowControl/>
              <w:autoSpaceDE/>
              <w:autoSpaceDN/>
              <w:rPr>
                <w:lang w:val="it-IT"/>
              </w:rPr>
            </w:pPr>
            <w:r w:rsidRPr="003D4EB3">
              <w:rPr>
                <w:lang w:val="it-IT"/>
              </w:rPr>
              <w:t>Nel caso di assenza di concorrenza per motivi tecnici vanno puntualmente esplicitate le condizioni/motivazioni</w:t>
            </w:r>
          </w:p>
          <w:p w14:paraId="1FC0FF2B" w14:textId="77777777" w:rsidR="004D48D2" w:rsidRPr="003D4EB3" w:rsidRDefault="004D48D2" w:rsidP="008911A2">
            <w:pPr>
              <w:widowControl/>
              <w:autoSpaceDE/>
              <w:autoSpaceDN/>
            </w:pPr>
            <w:proofErr w:type="spellStart"/>
            <w:r w:rsidRPr="003D4EB3">
              <w:t>dell’assenza</w:t>
            </w:r>
            <w:proofErr w:type="spellEnd"/>
            <w:r w:rsidRPr="003D4EB3">
              <w:t>.</w:t>
            </w:r>
          </w:p>
        </w:tc>
      </w:tr>
      <w:tr w:rsidR="004D48D2" w:rsidRPr="003D4EB3" w14:paraId="4F335DAB" w14:textId="77777777" w:rsidTr="008911A2">
        <w:trPr>
          <w:trHeight w:val="6752"/>
        </w:trPr>
        <w:tc>
          <w:tcPr>
            <w:tcW w:w="3212" w:type="dxa"/>
            <w:vMerge/>
            <w:tcBorders>
              <w:top w:val="nil"/>
            </w:tcBorders>
            <w:shd w:val="clear" w:color="auto" w:fill="2D74B5"/>
          </w:tcPr>
          <w:p w14:paraId="79531EF1" w14:textId="77777777" w:rsidR="004D48D2" w:rsidRPr="003D4EB3" w:rsidRDefault="004D48D2" w:rsidP="008911A2">
            <w:pPr>
              <w:widowControl/>
              <w:autoSpaceDE/>
              <w:autoSpaceDN/>
            </w:pPr>
          </w:p>
        </w:tc>
        <w:tc>
          <w:tcPr>
            <w:tcW w:w="3022" w:type="dxa"/>
          </w:tcPr>
          <w:p w14:paraId="04D702A2" w14:textId="77777777" w:rsidR="004D48D2" w:rsidRPr="003D4EB3" w:rsidRDefault="004D48D2" w:rsidP="008911A2">
            <w:pPr>
              <w:widowControl/>
              <w:autoSpaceDE/>
              <w:autoSpaceDN/>
              <w:rPr>
                <w:lang w:val="it-IT"/>
              </w:rPr>
            </w:pPr>
            <w:r w:rsidRPr="003D4EB3">
              <w:rPr>
                <w:lang w:val="it-IT"/>
              </w:rPr>
              <w:t>Utilizzo improprio della procedura negoziata da parte della stazione appaltante</w:t>
            </w:r>
            <w:r w:rsidRPr="003D4EB3">
              <w:rPr>
                <w:lang w:val="it-IT"/>
              </w:rPr>
              <w:tab/>
              <w:t>ascrivibile all’incapacità di effettuare una corretta programmazione e progettazione degli interventi.</w:t>
            </w:r>
          </w:p>
          <w:p w14:paraId="478CB6BA" w14:textId="77777777" w:rsidR="004D48D2" w:rsidRPr="003D4EB3" w:rsidRDefault="004D48D2" w:rsidP="008911A2">
            <w:pPr>
              <w:widowControl/>
              <w:autoSpaceDE/>
              <w:autoSpaceDN/>
              <w:rPr>
                <w:b/>
                <w:lang w:val="it-IT"/>
              </w:rPr>
            </w:pPr>
          </w:p>
          <w:p w14:paraId="7C4AC80C" w14:textId="77777777" w:rsidR="004D48D2" w:rsidRPr="003D4EB3" w:rsidRDefault="004D48D2" w:rsidP="008911A2">
            <w:pPr>
              <w:widowControl/>
              <w:autoSpaceDE/>
              <w:autoSpaceDN/>
              <w:rPr>
                <w:lang w:val="it-IT"/>
              </w:rPr>
            </w:pPr>
            <w:r w:rsidRPr="003D4EB3">
              <w:rPr>
                <w:lang w:val="it-IT"/>
              </w:rPr>
              <w:t>Utilizzo improprio della procedura negoziata da parte della stazione appaltante per favorire un determinato</w:t>
            </w:r>
            <w:r w:rsidRPr="003D4EB3">
              <w:rPr>
                <w:lang w:val="it-IT"/>
              </w:rPr>
              <w:tab/>
              <w:t>operatore economico.</w:t>
            </w:r>
          </w:p>
        </w:tc>
        <w:tc>
          <w:tcPr>
            <w:tcW w:w="8081" w:type="dxa"/>
          </w:tcPr>
          <w:p w14:paraId="5BE96354" w14:textId="77777777" w:rsidR="004D48D2" w:rsidRPr="003D4EB3" w:rsidRDefault="004D48D2" w:rsidP="008911A2">
            <w:pPr>
              <w:widowControl/>
              <w:autoSpaceDE/>
              <w:autoSpaceDN/>
              <w:rPr>
                <w:b/>
                <w:lang w:val="it-IT"/>
              </w:rPr>
            </w:pPr>
          </w:p>
          <w:p w14:paraId="239467CE" w14:textId="77777777" w:rsidR="004D48D2" w:rsidRPr="003D4EB3" w:rsidRDefault="004D48D2" w:rsidP="008911A2">
            <w:pPr>
              <w:widowControl/>
              <w:autoSpaceDE/>
              <w:autoSpaceDN/>
              <w:rPr>
                <w:lang w:val="it-IT"/>
              </w:rPr>
            </w:pPr>
            <w:r w:rsidRPr="003D4EB3">
              <w:rPr>
                <w:lang w:val="it-IT"/>
              </w:rPr>
              <w:t>le procedure negoziate senza previa pubblicazione del bando affidate da una medesima amministrazione in un determinato arco temporale saranno tracciate in apposito elenco. Ciò al fine di verificare da parte delle strutture e/o soggetti competenti se gli operatori economici aggiudicatari sono sempre i medesimi.</w:t>
            </w:r>
          </w:p>
          <w:p w14:paraId="0F5F1EF5" w14:textId="77777777" w:rsidR="004D48D2" w:rsidRPr="003D4EB3" w:rsidRDefault="004D48D2" w:rsidP="008911A2">
            <w:pPr>
              <w:widowControl/>
              <w:autoSpaceDE/>
              <w:autoSpaceDN/>
              <w:rPr>
                <w:lang w:val="it-IT"/>
              </w:rPr>
            </w:pPr>
            <w:r w:rsidRPr="003D4EB3">
              <w:rPr>
                <w:lang w:val="it-IT"/>
              </w:rPr>
              <w:t>Il RPCT verifica in sede di monitoraggio la corretta attuazione delle misure programmate.</w:t>
            </w:r>
          </w:p>
        </w:tc>
      </w:tr>
      <w:tr w:rsidR="004D48D2" w:rsidRPr="003D4EB3" w14:paraId="2A9EDD98" w14:textId="77777777" w:rsidTr="008911A2">
        <w:trPr>
          <w:trHeight w:val="2720"/>
        </w:trPr>
        <w:tc>
          <w:tcPr>
            <w:tcW w:w="3212" w:type="dxa"/>
            <w:vMerge/>
            <w:tcBorders>
              <w:top w:val="nil"/>
            </w:tcBorders>
            <w:shd w:val="clear" w:color="auto" w:fill="2D74B5"/>
          </w:tcPr>
          <w:p w14:paraId="009D3999" w14:textId="77777777" w:rsidR="004D48D2" w:rsidRPr="003D4EB3" w:rsidRDefault="004D48D2" w:rsidP="008911A2">
            <w:pPr>
              <w:widowControl/>
              <w:autoSpaceDE/>
              <w:autoSpaceDN/>
              <w:rPr>
                <w:lang w:val="it-IT"/>
              </w:rPr>
            </w:pPr>
          </w:p>
        </w:tc>
        <w:tc>
          <w:tcPr>
            <w:tcW w:w="3022" w:type="dxa"/>
          </w:tcPr>
          <w:p w14:paraId="2AB75935" w14:textId="77777777" w:rsidR="004D48D2" w:rsidRPr="003D4EB3" w:rsidRDefault="004D48D2" w:rsidP="008911A2">
            <w:pPr>
              <w:widowControl/>
              <w:autoSpaceDE/>
              <w:autoSpaceDN/>
              <w:rPr>
                <w:lang w:val="it-IT"/>
              </w:rPr>
            </w:pPr>
            <w:r w:rsidRPr="003D4EB3">
              <w:rPr>
                <w:lang w:val="it-IT"/>
              </w:rPr>
              <w:t>Artificioso allungamento dei tempi di progettazione della gara e della fase realizzativa dell’intervento al fine di creare la condizione per affidamenti caratterizzati da urgenza.</w:t>
            </w:r>
          </w:p>
        </w:tc>
        <w:tc>
          <w:tcPr>
            <w:tcW w:w="8081" w:type="dxa"/>
          </w:tcPr>
          <w:p w14:paraId="56E609B1" w14:textId="77777777" w:rsidR="004D48D2" w:rsidRPr="003D4EB3" w:rsidRDefault="004D48D2" w:rsidP="008911A2">
            <w:pPr>
              <w:widowControl/>
              <w:autoSpaceDE/>
              <w:autoSpaceDN/>
              <w:rPr>
                <w:lang w:val="it-IT"/>
              </w:rPr>
            </w:pPr>
            <w:r w:rsidRPr="003D4EB3">
              <w:rPr>
                <w:lang w:val="it-IT"/>
              </w:rPr>
              <w:t>Monitoraggio sistematico del rispetto dei tempi di progettazione della gara e della fase realizzativa dell’intervento al fine di individuare eventuali anomalie che possono incidere sui tempi di attuazione dei programmi.</w:t>
            </w:r>
          </w:p>
          <w:p w14:paraId="520E9C8F" w14:textId="77777777" w:rsidR="004D48D2" w:rsidRPr="003D4EB3" w:rsidRDefault="004D48D2" w:rsidP="008911A2">
            <w:pPr>
              <w:widowControl/>
              <w:autoSpaceDE/>
              <w:autoSpaceDN/>
              <w:rPr>
                <w:b/>
                <w:lang w:val="it-IT"/>
              </w:rPr>
            </w:pPr>
          </w:p>
          <w:p w14:paraId="15990699" w14:textId="77777777" w:rsidR="004D48D2" w:rsidRPr="003D4EB3" w:rsidRDefault="004D48D2" w:rsidP="008911A2">
            <w:pPr>
              <w:widowControl/>
              <w:autoSpaceDE/>
              <w:autoSpaceDN/>
              <w:rPr>
                <w:lang w:val="it-IT"/>
              </w:rPr>
            </w:pPr>
            <w:r w:rsidRPr="003D4EB3">
              <w:rPr>
                <w:lang w:val="it-IT"/>
              </w:rPr>
              <w:t xml:space="preserve">Verifica a campione dei casi di anomalia da parte della struttura di </w:t>
            </w:r>
            <w:r w:rsidRPr="003D4EB3">
              <w:rPr>
                <w:i/>
                <w:lang w:val="it-IT"/>
              </w:rPr>
              <w:t xml:space="preserve">auditing </w:t>
            </w:r>
            <w:r w:rsidRPr="003D4EB3">
              <w:rPr>
                <w:lang w:val="it-IT"/>
              </w:rPr>
              <w:t>individuata dalla S.A. che ne relaziona al RPCT e all’ufficio gare.</w:t>
            </w:r>
          </w:p>
        </w:tc>
      </w:tr>
      <w:tr w:rsidR="004D48D2" w:rsidRPr="003D4EB3" w14:paraId="288D9888" w14:textId="77777777" w:rsidTr="008911A2">
        <w:trPr>
          <w:trHeight w:val="2976"/>
        </w:trPr>
        <w:tc>
          <w:tcPr>
            <w:tcW w:w="3212" w:type="dxa"/>
            <w:shd w:val="clear" w:color="auto" w:fill="2D74B5"/>
          </w:tcPr>
          <w:p w14:paraId="2BA7EB09" w14:textId="77777777" w:rsidR="004D48D2" w:rsidRPr="003D4EB3" w:rsidRDefault="004D48D2" w:rsidP="008911A2">
            <w:pPr>
              <w:widowControl/>
              <w:autoSpaceDE/>
              <w:autoSpaceDN/>
              <w:rPr>
                <w:lang w:val="it-IT"/>
              </w:rPr>
            </w:pPr>
          </w:p>
        </w:tc>
        <w:tc>
          <w:tcPr>
            <w:tcW w:w="3022" w:type="dxa"/>
          </w:tcPr>
          <w:p w14:paraId="63F07170" w14:textId="77777777" w:rsidR="004D48D2" w:rsidRPr="003D4EB3" w:rsidRDefault="004D48D2" w:rsidP="008911A2">
            <w:pPr>
              <w:widowControl/>
              <w:autoSpaceDE/>
              <w:autoSpaceDN/>
              <w:rPr>
                <w:lang w:val="it-IT"/>
              </w:rPr>
            </w:pPr>
            <w:r w:rsidRPr="003D4EB3">
              <w:rPr>
                <w:lang w:val="it-IT"/>
              </w:rPr>
              <w:t>Possibili accordi collusivi per favorire il riconoscimento di risarcimenti, cospicui, al soggetto non aggiudicatario.</w:t>
            </w:r>
          </w:p>
        </w:tc>
        <w:tc>
          <w:tcPr>
            <w:tcW w:w="8081" w:type="dxa"/>
          </w:tcPr>
          <w:p w14:paraId="1A3CC63C" w14:textId="77777777" w:rsidR="004D48D2" w:rsidRPr="003D4EB3" w:rsidRDefault="004D48D2" w:rsidP="008911A2">
            <w:pPr>
              <w:widowControl/>
              <w:autoSpaceDE/>
              <w:autoSpaceDN/>
              <w:rPr>
                <w:lang w:val="it-IT"/>
              </w:rPr>
            </w:pPr>
            <w:r w:rsidRPr="003D4EB3">
              <w:rPr>
                <w:lang w:val="it-IT"/>
              </w:rPr>
              <w:t>A seguito di contenzioso, ricognizione da parte dell’ufficio gare – nell’arco di due anni – sia degli OE che hanno avuto la “conservazione del contratto” sia di quelli per i quali è stato concesso il risarcimento ai sensi dell’art. 125 d.lgs. n. 104/2010. Ciò al fine di verificare la ricorrenza dei medesimi OE, indice di un possibile accordo collusivo fra gli stessi.</w:t>
            </w:r>
          </w:p>
        </w:tc>
      </w:tr>
    </w:tbl>
    <w:p w14:paraId="5B215DBD" w14:textId="77777777" w:rsidR="004D48D2" w:rsidRPr="003D4EB3" w:rsidRDefault="004D48D2" w:rsidP="004D48D2">
      <w:pPr>
        <w:sectPr w:rsidR="004D48D2" w:rsidRPr="003D4EB3" w:rsidSect="00C44B1C">
          <w:pgSz w:w="16840" w:h="11910" w:orient="landscape"/>
          <w:pgMar w:top="880" w:right="1420" w:bottom="740" w:left="900" w:header="0" w:footer="713" w:gutter="0"/>
          <w:cols w:space="720"/>
        </w:sect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022"/>
        <w:gridCol w:w="7901"/>
      </w:tblGrid>
      <w:tr w:rsidR="004D48D2" w:rsidRPr="003D4EB3" w14:paraId="57320D24" w14:textId="77777777" w:rsidTr="008911A2">
        <w:trPr>
          <w:trHeight w:val="2976"/>
        </w:trPr>
        <w:tc>
          <w:tcPr>
            <w:tcW w:w="3212" w:type="dxa"/>
            <w:vMerge w:val="restart"/>
            <w:tcBorders>
              <w:bottom w:val="nil"/>
            </w:tcBorders>
            <w:shd w:val="clear" w:color="auto" w:fill="2D74B5"/>
          </w:tcPr>
          <w:p w14:paraId="2A160EAD" w14:textId="77777777" w:rsidR="004D48D2" w:rsidRPr="003D4EB3" w:rsidRDefault="004D48D2" w:rsidP="008911A2">
            <w:pPr>
              <w:widowControl/>
              <w:autoSpaceDE/>
              <w:autoSpaceDN/>
              <w:rPr>
                <w:b/>
                <w:lang w:val="it-IT"/>
              </w:rPr>
            </w:pPr>
          </w:p>
          <w:p w14:paraId="2B3DD5B8" w14:textId="77777777" w:rsidR="004D48D2" w:rsidRPr="003D4EB3" w:rsidRDefault="004D48D2" w:rsidP="008911A2">
            <w:pPr>
              <w:widowControl/>
              <w:autoSpaceDE/>
              <w:autoSpaceDN/>
              <w:rPr>
                <w:lang w:val="it-IT"/>
              </w:rPr>
            </w:pPr>
            <w:r w:rsidRPr="003D4EB3">
              <w:rPr>
                <w:lang w:val="it-IT"/>
              </w:rPr>
              <w:t xml:space="preserve">Art. 48, co. 4, </w:t>
            </w:r>
            <w:proofErr w:type="spellStart"/>
            <w:r w:rsidRPr="003D4EB3">
              <w:rPr>
                <w:lang w:val="it-IT"/>
              </w:rPr>
              <w:t>d.l.</w:t>
            </w:r>
            <w:proofErr w:type="spellEnd"/>
            <w:r w:rsidRPr="003D4EB3">
              <w:rPr>
                <w:lang w:val="it-IT"/>
              </w:rPr>
              <w:t xml:space="preserve"> n. 77/2021</w:t>
            </w:r>
          </w:p>
          <w:p w14:paraId="7E3CC9A2" w14:textId="77777777" w:rsidR="004D48D2" w:rsidRPr="003D4EB3" w:rsidRDefault="004D48D2" w:rsidP="008911A2">
            <w:pPr>
              <w:widowControl/>
              <w:autoSpaceDE/>
              <w:autoSpaceDN/>
              <w:rPr>
                <w:lang w:val="it-IT"/>
              </w:rPr>
            </w:pPr>
            <w:r w:rsidRPr="003D4EB3">
              <w:rPr>
                <w:lang w:val="it-IT"/>
              </w:rPr>
              <w:t>Per gli affidamenti PNRR, PNC e UE è stata estesa la norma che consente, in caso di impugnativa, l’applicazione delle disposizioni processuali relative alle infrastrutture strategiche (art. 125 d.lgs. n. 104/2010), le quali - fatte salve le ipotesi di cui agli artt. 121 e 123 del citato decreto - limitano la caducazione del contratto, favorendo il risarcimento per equivalente.</w:t>
            </w:r>
          </w:p>
        </w:tc>
        <w:tc>
          <w:tcPr>
            <w:tcW w:w="3022" w:type="dxa"/>
          </w:tcPr>
          <w:p w14:paraId="7D104B3A" w14:textId="77777777" w:rsidR="004D48D2" w:rsidRPr="003D4EB3" w:rsidRDefault="004D48D2" w:rsidP="008911A2">
            <w:pPr>
              <w:widowControl/>
              <w:autoSpaceDE/>
              <w:autoSpaceDN/>
              <w:rPr>
                <w:lang w:val="it-IT"/>
              </w:rPr>
            </w:pPr>
          </w:p>
        </w:tc>
        <w:tc>
          <w:tcPr>
            <w:tcW w:w="7901" w:type="dxa"/>
          </w:tcPr>
          <w:p w14:paraId="7522E82D" w14:textId="77777777" w:rsidR="004D48D2" w:rsidRPr="003D4EB3" w:rsidRDefault="004D48D2" w:rsidP="008911A2">
            <w:pPr>
              <w:widowControl/>
              <w:autoSpaceDE/>
              <w:autoSpaceDN/>
              <w:rPr>
                <w:lang w:val="it-IT"/>
              </w:rPr>
            </w:pPr>
            <w:r w:rsidRPr="003D4EB3">
              <w:rPr>
                <w:lang w:val="it-IT"/>
              </w:rPr>
              <w:t>Pubblicazione degli indennizzi concessi ai sensi dell’art. 125 d.lgs. n. 104/2010.</w:t>
            </w:r>
          </w:p>
        </w:tc>
      </w:tr>
      <w:tr w:rsidR="004D48D2" w:rsidRPr="003D4EB3" w14:paraId="0B84BB7D" w14:textId="77777777" w:rsidTr="008911A2">
        <w:trPr>
          <w:trHeight w:val="2170"/>
        </w:trPr>
        <w:tc>
          <w:tcPr>
            <w:tcW w:w="3212" w:type="dxa"/>
            <w:vMerge/>
            <w:tcBorders>
              <w:top w:val="nil"/>
              <w:bottom w:val="nil"/>
            </w:tcBorders>
            <w:shd w:val="clear" w:color="auto" w:fill="2D74B5"/>
          </w:tcPr>
          <w:p w14:paraId="362F1597" w14:textId="77777777" w:rsidR="004D48D2" w:rsidRPr="003D4EB3" w:rsidRDefault="004D48D2" w:rsidP="008911A2">
            <w:pPr>
              <w:widowControl/>
              <w:autoSpaceDE/>
              <w:autoSpaceDN/>
              <w:rPr>
                <w:lang w:val="it-IT"/>
              </w:rPr>
            </w:pPr>
          </w:p>
        </w:tc>
        <w:tc>
          <w:tcPr>
            <w:tcW w:w="3022" w:type="dxa"/>
          </w:tcPr>
          <w:p w14:paraId="475C10D4" w14:textId="77777777" w:rsidR="004D48D2" w:rsidRPr="003D4EB3" w:rsidRDefault="004D48D2" w:rsidP="008911A2">
            <w:pPr>
              <w:widowControl/>
              <w:autoSpaceDE/>
              <w:autoSpaceDN/>
              <w:rPr>
                <w:lang w:val="it-IT"/>
              </w:rPr>
            </w:pPr>
            <w:r w:rsidRPr="003D4EB3">
              <w:rPr>
                <w:lang w:val="it-IT"/>
              </w:rPr>
              <w:t>Omissione di controlli in sede esecutiva da parte del DL o del DEC sullo svolgimento delle prestazioni dedotte in contratto da parte del solo personale autorizzato con la possibile conseguente prestazione svolta da personale/operatori economici non autorizzati.</w:t>
            </w:r>
          </w:p>
        </w:tc>
        <w:tc>
          <w:tcPr>
            <w:tcW w:w="7901" w:type="dxa"/>
          </w:tcPr>
          <w:p w14:paraId="31FE8017" w14:textId="77777777" w:rsidR="004D48D2" w:rsidRPr="003D4EB3" w:rsidRDefault="004D48D2" w:rsidP="008911A2">
            <w:pPr>
              <w:widowControl/>
              <w:autoSpaceDE/>
              <w:autoSpaceDN/>
              <w:rPr>
                <w:lang w:val="it-IT"/>
              </w:rPr>
            </w:pPr>
            <w:r w:rsidRPr="003D4EB3">
              <w:rPr>
                <w:lang w:val="it-IT"/>
              </w:rPr>
              <w:t xml:space="preserve">Verifica da parte </w:t>
            </w:r>
            <w:proofErr w:type="gramStart"/>
            <w:r w:rsidRPr="003D4EB3">
              <w:rPr>
                <w:lang w:val="it-IT"/>
              </w:rPr>
              <w:t>dell’ente  dell’adeguato</w:t>
            </w:r>
            <w:proofErr w:type="gramEnd"/>
            <w:r w:rsidRPr="003D4EB3">
              <w:rPr>
                <w:lang w:val="it-IT"/>
              </w:rPr>
              <w:t xml:space="preserve"> rispetto degli adempimenti di legge da parte del DL/DEC e RUP con riferimento allo svolgimento della vigilanza in sede esecutiva con specifico riguardo ai subappalti autorizzati e ai sub contratti comunicati.</w:t>
            </w:r>
          </w:p>
        </w:tc>
      </w:tr>
      <w:tr w:rsidR="004D48D2" w:rsidRPr="003D4EB3" w14:paraId="7F1145F8" w14:textId="77777777" w:rsidTr="008911A2">
        <w:trPr>
          <w:trHeight w:val="1500"/>
        </w:trPr>
        <w:tc>
          <w:tcPr>
            <w:tcW w:w="3212" w:type="dxa"/>
            <w:tcBorders>
              <w:top w:val="nil"/>
              <w:bottom w:val="nil"/>
            </w:tcBorders>
            <w:shd w:val="clear" w:color="auto" w:fill="2D74B5"/>
          </w:tcPr>
          <w:p w14:paraId="7E1968AC" w14:textId="77777777" w:rsidR="004D48D2" w:rsidRPr="003D4EB3" w:rsidRDefault="004D48D2" w:rsidP="008911A2">
            <w:pPr>
              <w:widowControl/>
              <w:autoSpaceDE/>
              <w:autoSpaceDN/>
              <w:rPr>
                <w:lang w:val="it-IT"/>
              </w:rPr>
            </w:pPr>
          </w:p>
        </w:tc>
        <w:tc>
          <w:tcPr>
            <w:tcW w:w="3022" w:type="dxa"/>
            <w:tcBorders>
              <w:bottom w:val="nil"/>
            </w:tcBorders>
          </w:tcPr>
          <w:p w14:paraId="2FD18C84" w14:textId="77777777" w:rsidR="004D48D2" w:rsidRPr="003D4EB3" w:rsidRDefault="004D48D2" w:rsidP="008911A2">
            <w:pPr>
              <w:widowControl/>
              <w:autoSpaceDE/>
              <w:autoSpaceDN/>
              <w:rPr>
                <w:lang w:val="it-IT"/>
              </w:rPr>
            </w:pPr>
            <w:r w:rsidRPr="003D4EB3">
              <w:rPr>
                <w:lang w:val="it-IT"/>
              </w:rPr>
              <w:t>Nomina come titolare del potere sostitutivo di soggetti che versano in una situazione di conflitto di interessi.</w:t>
            </w:r>
          </w:p>
        </w:tc>
        <w:tc>
          <w:tcPr>
            <w:tcW w:w="7901" w:type="dxa"/>
            <w:tcBorders>
              <w:bottom w:val="nil"/>
            </w:tcBorders>
          </w:tcPr>
          <w:p w14:paraId="15086B83" w14:textId="77777777" w:rsidR="004D48D2" w:rsidRPr="003D4EB3" w:rsidRDefault="004D48D2" w:rsidP="008911A2">
            <w:pPr>
              <w:widowControl/>
              <w:autoSpaceDE/>
              <w:autoSpaceDN/>
              <w:rPr>
                <w:lang w:val="it-IT"/>
              </w:rPr>
            </w:pPr>
            <w:r w:rsidRPr="003D4EB3">
              <w:rPr>
                <w:lang w:val="it-IT"/>
              </w:rPr>
              <w:t>Dichiarazione – da parte del soggetto titolare del potere sostitutivo per la procedura rispetto alla quale viene richiesto il suo intervento - delle eventuali situazioni di conflitto di interessi ai sensi dell’art. 16, d.lgs. n. 36/2023.</w:t>
            </w:r>
          </w:p>
        </w:tc>
      </w:tr>
      <w:tr w:rsidR="004D48D2" w:rsidRPr="003D4EB3" w14:paraId="0A6222A9" w14:textId="77777777" w:rsidTr="008911A2">
        <w:trPr>
          <w:trHeight w:val="2590"/>
        </w:trPr>
        <w:tc>
          <w:tcPr>
            <w:tcW w:w="3212" w:type="dxa"/>
            <w:tcBorders>
              <w:top w:val="nil"/>
              <w:bottom w:val="nil"/>
            </w:tcBorders>
            <w:shd w:val="clear" w:color="auto" w:fill="2D74B5"/>
          </w:tcPr>
          <w:p w14:paraId="54B642F0" w14:textId="77777777" w:rsidR="004D48D2" w:rsidRPr="003D4EB3" w:rsidRDefault="004D48D2" w:rsidP="008911A2">
            <w:pPr>
              <w:widowControl/>
              <w:autoSpaceDE/>
              <w:autoSpaceDN/>
              <w:rPr>
                <w:lang w:val="it-IT"/>
              </w:rPr>
            </w:pPr>
          </w:p>
        </w:tc>
        <w:tc>
          <w:tcPr>
            <w:tcW w:w="3022" w:type="dxa"/>
            <w:tcBorders>
              <w:top w:val="nil"/>
              <w:bottom w:val="nil"/>
            </w:tcBorders>
          </w:tcPr>
          <w:p w14:paraId="6F32D72A" w14:textId="77777777" w:rsidR="004D48D2" w:rsidRPr="003D4EB3" w:rsidRDefault="004D48D2" w:rsidP="008911A2">
            <w:pPr>
              <w:widowControl/>
              <w:autoSpaceDE/>
              <w:autoSpaceDN/>
              <w:rPr>
                <w:lang w:val="it-IT"/>
              </w:rPr>
            </w:pPr>
          </w:p>
        </w:tc>
        <w:tc>
          <w:tcPr>
            <w:tcW w:w="7901" w:type="dxa"/>
            <w:tcBorders>
              <w:top w:val="nil"/>
              <w:bottom w:val="nil"/>
            </w:tcBorders>
          </w:tcPr>
          <w:p w14:paraId="0C754844" w14:textId="77777777" w:rsidR="004D48D2" w:rsidRPr="003D4EB3" w:rsidRDefault="004D48D2" w:rsidP="008911A2">
            <w:pPr>
              <w:widowControl/>
              <w:autoSpaceDE/>
              <w:autoSpaceDN/>
              <w:rPr>
                <w:lang w:val="it-IT"/>
              </w:rPr>
            </w:pPr>
            <w:r w:rsidRPr="003D4EB3">
              <w:rPr>
                <w:i/>
                <w:lang w:val="it-IT"/>
              </w:rPr>
              <w:t xml:space="preserve">Link </w:t>
            </w:r>
            <w:r w:rsidRPr="003D4EB3">
              <w:rPr>
                <w:lang w:val="it-IT"/>
              </w:rPr>
              <w:t xml:space="preserve">alla pubblicazione, ai sensi dell’art. 35, lett. m), del d.lgs. n. 33/2013, sul sito istituzionale della stazione appaltante, del nominativo e dei riferimenti del titolare del potere sostitutivo, tenuto ad attivarsi qualora decorrano inutilmente i termini per la stipula, la consegna lavori, la costituzione del Collegio Consultivo Tecnico, nonché altri termini anche </w:t>
            </w:r>
            <w:proofErr w:type="spellStart"/>
            <w:r w:rsidRPr="003D4EB3">
              <w:rPr>
                <w:lang w:val="it-IT"/>
              </w:rPr>
              <w:t>endo</w:t>
            </w:r>
            <w:proofErr w:type="spellEnd"/>
            <w:r w:rsidRPr="003D4EB3">
              <w:rPr>
                <w:lang w:val="it-IT"/>
              </w:rPr>
              <w:t>- procedimentali.</w:t>
            </w:r>
          </w:p>
        </w:tc>
      </w:tr>
      <w:tr w:rsidR="004D48D2" w:rsidRPr="003D4EB3" w14:paraId="3E8604D3" w14:textId="77777777" w:rsidTr="008911A2">
        <w:trPr>
          <w:trHeight w:val="1543"/>
        </w:trPr>
        <w:tc>
          <w:tcPr>
            <w:tcW w:w="3212" w:type="dxa"/>
            <w:tcBorders>
              <w:top w:val="nil"/>
              <w:bottom w:val="nil"/>
            </w:tcBorders>
            <w:shd w:val="clear" w:color="auto" w:fill="2D74B5"/>
          </w:tcPr>
          <w:p w14:paraId="71D86B95" w14:textId="77777777" w:rsidR="004D48D2" w:rsidRPr="003D4EB3" w:rsidRDefault="004D48D2" w:rsidP="008911A2">
            <w:pPr>
              <w:widowControl/>
              <w:autoSpaceDE/>
              <w:autoSpaceDN/>
              <w:rPr>
                <w:lang w:val="it-IT"/>
              </w:rPr>
            </w:pPr>
          </w:p>
        </w:tc>
        <w:tc>
          <w:tcPr>
            <w:tcW w:w="3022" w:type="dxa"/>
            <w:tcBorders>
              <w:top w:val="nil"/>
              <w:bottom w:val="nil"/>
            </w:tcBorders>
          </w:tcPr>
          <w:p w14:paraId="16A42A31" w14:textId="77777777" w:rsidR="004D48D2" w:rsidRPr="003D4EB3" w:rsidRDefault="004D48D2" w:rsidP="008911A2">
            <w:pPr>
              <w:widowControl/>
              <w:autoSpaceDE/>
              <w:autoSpaceDN/>
              <w:rPr>
                <w:lang w:val="it-IT"/>
              </w:rPr>
            </w:pPr>
          </w:p>
        </w:tc>
        <w:tc>
          <w:tcPr>
            <w:tcW w:w="7901" w:type="dxa"/>
            <w:tcBorders>
              <w:top w:val="nil"/>
              <w:bottom w:val="nil"/>
            </w:tcBorders>
          </w:tcPr>
          <w:p w14:paraId="32F36568" w14:textId="77777777" w:rsidR="004D48D2" w:rsidRPr="003D4EB3" w:rsidRDefault="004D48D2" w:rsidP="008911A2">
            <w:pPr>
              <w:widowControl/>
              <w:autoSpaceDE/>
              <w:autoSpaceDN/>
              <w:rPr>
                <w:lang w:val="it-IT"/>
              </w:rPr>
            </w:pPr>
            <w:r w:rsidRPr="003D4EB3">
              <w:rPr>
                <w:lang w:val="it-IT"/>
              </w:rPr>
              <w:t>Dichiarazione, da parte del soggetto titolare del potere sostitutivo per la procedura rispetto alla quale viene richiesto il suo intervento, delle eventuali situazioni di conflitto di interessi ai sensi dell’art. 16 del d.lgs. n. 36/2023.</w:t>
            </w:r>
          </w:p>
        </w:tc>
      </w:tr>
      <w:tr w:rsidR="004D48D2" w:rsidRPr="003D4EB3" w14:paraId="533CCB9C" w14:textId="77777777" w:rsidTr="008911A2">
        <w:trPr>
          <w:trHeight w:val="1792"/>
        </w:trPr>
        <w:tc>
          <w:tcPr>
            <w:tcW w:w="3212" w:type="dxa"/>
            <w:tcBorders>
              <w:top w:val="nil"/>
            </w:tcBorders>
            <w:shd w:val="clear" w:color="auto" w:fill="2D74B5"/>
          </w:tcPr>
          <w:p w14:paraId="3673D56A" w14:textId="77777777" w:rsidR="004D48D2" w:rsidRPr="003D4EB3" w:rsidRDefault="004D48D2" w:rsidP="008911A2">
            <w:pPr>
              <w:widowControl/>
              <w:autoSpaceDE/>
              <w:autoSpaceDN/>
              <w:rPr>
                <w:lang w:val="it-IT"/>
              </w:rPr>
            </w:pPr>
          </w:p>
        </w:tc>
        <w:tc>
          <w:tcPr>
            <w:tcW w:w="3022" w:type="dxa"/>
            <w:tcBorders>
              <w:top w:val="nil"/>
            </w:tcBorders>
          </w:tcPr>
          <w:p w14:paraId="14CF1748" w14:textId="77777777" w:rsidR="004D48D2" w:rsidRPr="003D4EB3" w:rsidRDefault="004D48D2" w:rsidP="008911A2">
            <w:pPr>
              <w:widowControl/>
              <w:autoSpaceDE/>
              <w:autoSpaceDN/>
              <w:rPr>
                <w:lang w:val="it-IT"/>
              </w:rPr>
            </w:pPr>
          </w:p>
        </w:tc>
        <w:tc>
          <w:tcPr>
            <w:tcW w:w="7901" w:type="dxa"/>
            <w:tcBorders>
              <w:top w:val="nil"/>
            </w:tcBorders>
          </w:tcPr>
          <w:p w14:paraId="67BCDB7A" w14:textId="77777777" w:rsidR="004D48D2" w:rsidRPr="003D4EB3" w:rsidRDefault="004D48D2" w:rsidP="008911A2">
            <w:pPr>
              <w:widowControl/>
              <w:autoSpaceDE/>
              <w:autoSpaceDN/>
              <w:rPr>
                <w:lang w:val="it-IT"/>
              </w:rPr>
            </w:pPr>
            <w:r w:rsidRPr="003D4EB3">
              <w:rPr>
                <w:lang w:val="it-IT"/>
              </w:rPr>
              <w:t xml:space="preserve">Verifica e valutazione delle dichiarazioni rese dal titolare del potere sostitutivo a cura del competente soggetto individuato dall’amministrazione (cfr. Parte speciale, </w:t>
            </w:r>
            <w:r w:rsidRPr="003D4EB3">
              <w:rPr>
                <w:i/>
                <w:lang w:val="it-IT"/>
              </w:rPr>
              <w:t>Conflitti di interessi in materia di contratti pubblici</w:t>
            </w:r>
            <w:r w:rsidRPr="003D4EB3">
              <w:rPr>
                <w:lang w:val="it-IT"/>
              </w:rPr>
              <w:t>, § 3.1. del PNA 2022).</w:t>
            </w:r>
          </w:p>
        </w:tc>
      </w:tr>
    </w:tbl>
    <w:p w14:paraId="5E5BF5EA" w14:textId="77777777" w:rsidR="004D48D2" w:rsidRPr="003D4EB3" w:rsidRDefault="004D48D2" w:rsidP="004D48D2">
      <w:pPr>
        <w:sectPr w:rsidR="004D48D2" w:rsidRPr="003D4EB3" w:rsidSect="00C44B1C">
          <w:pgSz w:w="16840" w:h="11910" w:orient="landscape"/>
          <w:pgMar w:top="880" w:right="1420" w:bottom="740" w:left="900" w:header="0" w:footer="793" w:gutter="0"/>
          <w:cols w:space="720"/>
        </w:sect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022"/>
        <w:gridCol w:w="7721"/>
      </w:tblGrid>
      <w:tr w:rsidR="004D48D2" w:rsidRPr="003D4EB3" w14:paraId="268655F0" w14:textId="77777777" w:rsidTr="008911A2">
        <w:trPr>
          <w:trHeight w:val="3501"/>
        </w:trPr>
        <w:tc>
          <w:tcPr>
            <w:tcW w:w="3212" w:type="dxa"/>
            <w:shd w:val="clear" w:color="auto" w:fill="2D74B5"/>
          </w:tcPr>
          <w:p w14:paraId="08F5EE79" w14:textId="77777777" w:rsidR="004D48D2" w:rsidRPr="003D4EB3" w:rsidRDefault="004D48D2" w:rsidP="008911A2">
            <w:pPr>
              <w:widowControl/>
              <w:autoSpaceDE/>
              <w:autoSpaceDN/>
              <w:rPr>
                <w:lang w:val="it-IT"/>
              </w:rPr>
            </w:pPr>
          </w:p>
        </w:tc>
        <w:tc>
          <w:tcPr>
            <w:tcW w:w="3022" w:type="dxa"/>
          </w:tcPr>
          <w:p w14:paraId="5DCA50FA" w14:textId="77777777" w:rsidR="004D48D2" w:rsidRPr="003D4EB3" w:rsidRDefault="004D48D2" w:rsidP="008911A2">
            <w:pPr>
              <w:widowControl/>
              <w:autoSpaceDE/>
              <w:autoSpaceDN/>
              <w:rPr>
                <w:lang w:val="it-IT"/>
              </w:rPr>
            </w:pPr>
            <w:r w:rsidRPr="003D4EB3">
              <w:rPr>
                <w:lang w:val="it-IT"/>
              </w:rPr>
              <w:t>Attivazione del potere sostitutivo in assenza dei presupposti al fine di favorire particolari operatori economici.</w:t>
            </w:r>
          </w:p>
        </w:tc>
        <w:tc>
          <w:tcPr>
            <w:tcW w:w="7721" w:type="dxa"/>
          </w:tcPr>
          <w:p w14:paraId="3591696D" w14:textId="77777777" w:rsidR="004D48D2" w:rsidRPr="003D4EB3" w:rsidRDefault="004D48D2" w:rsidP="008911A2">
            <w:pPr>
              <w:widowControl/>
              <w:autoSpaceDE/>
              <w:autoSpaceDN/>
              <w:rPr>
                <w:lang w:val="it-IT"/>
              </w:rPr>
            </w:pPr>
            <w:r w:rsidRPr="003D4EB3">
              <w:rPr>
                <w:lang w:val="it-IT"/>
              </w:rPr>
              <w:t>gli affidamenti operati dalla stazione appaltante al fine di verificare la rispondenza delle tempistiche di avanzamento in ragione di quanto previsto dalle norme e dal contratto saranno oggetto di tracciamento; ciò con l’obiettivo di attivare il potere sostitutivo nei casi di accertato ritardo e decorrenza dei termini.</w:t>
            </w:r>
          </w:p>
        </w:tc>
      </w:tr>
      <w:tr w:rsidR="004D48D2" w:rsidRPr="003D4EB3" w14:paraId="244F4427" w14:textId="77777777" w:rsidTr="008911A2">
        <w:trPr>
          <w:trHeight w:val="5546"/>
        </w:trPr>
        <w:tc>
          <w:tcPr>
            <w:tcW w:w="3212" w:type="dxa"/>
            <w:tcBorders>
              <w:bottom w:val="nil"/>
            </w:tcBorders>
            <w:shd w:val="clear" w:color="auto" w:fill="2D74B5"/>
          </w:tcPr>
          <w:p w14:paraId="0A9B9BC7" w14:textId="77777777" w:rsidR="004D48D2" w:rsidRPr="003D4EB3" w:rsidRDefault="004D48D2" w:rsidP="008911A2">
            <w:pPr>
              <w:widowControl/>
              <w:autoSpaceDE/>
              <w:autoSpaceDN/>
              <w:rPr>
                <w:b/>
                <w:lang w:val="it-IT"/>
              </w:rPr>
            </w:pPr>
          </w:p>
          <w:p w14:paraId="0EB3CEA1" w14:textId="77777777" w:rsidR="004D48D2" w:rsidRPr="003D4EB3" w:rsidRDefault="004D48D2" w:rsidP="008911A2">
            <w:pPr>
              <w:widowControl/>
              <w:autoSpaceDE/>
              <w:autoSpaceDN/>
              <w:rPr>
                <w:lang w:val="it-IT"/>
              </w:rPr>
            </w:pPr>
            <w:r w:rsidRPr="003D4EB3">
              <w:rPr>
                <w:lang w:val="it-IT"/>
              </w:rPr>
              <w:t xml:space="preserve">Art. 50, co. 4, </w:t>
            </w:r>
            <w:proofErr w:type="spellStart"/>
            <w:r w:rsidRPr="003D4EB3">
              <w:rPr>
                <w:lang w:val="it-IT"/>
              </w:rPr>
              <w:t>d.l.</w:t>
            </w:r>
            <w:proofErr w:type="spellEnd"/>
            <w:r w:rsidRPr="003D4EB3">
              <w:rPr>
                <w:lang w:val="it-IT"/>
              </w:rPr>
              <w:t xml:space="preserve"> 77/2021 Premio di accelerazione</w:t>
            </w:r>
          </w:p>
          <w:p w14:paraId="230AA5D8" w14:textId="77777777" w:rsidR="004D48D2" w:rsidRPr="003D4EB3" w:rsidRDefault="004D48D2" w:rsidP="008911A2">
            <w:pPr>
              <w:widowControl/>
              <w:autoSpaceDE/>
              <w:autoSpaceDN/>
              <w:rPr>
                <w:b/>
                <w:lang w:val="it-IT"/>
              </w:rPr>
            </w:pPr>
          </w:p>
          <w:p w14:paraId="6A892183" w14:textId="77777777" w:rsidR="004D48D2" w:rsidRPr="003D4EB3" w:rsidRDefault="004D48D2" w:rsidP="008911A2">
            <w:pPr>
              <w:widowControl/>
              <w:autoSpaceDE/>
              <w:autoSpaceDN/>
              <w:rPr>
                <w:lang w:val="it-IT"/>
              </w:rPr>
            </w:pPr>
            <w:r w:rsidRPr="003D4EB3">
              <w:rPr>
                <w:lang w:val="it-IT"/>
              </w:rPr>
              <w:t>È previsto che la stazione appaltante preveda nel bando o nell'avviso di indizione della gara dei premi di accelerazione per ogni giorno di anticipo della consegna dell’opera finita, da conferire mediante lo stesso procedimento utilizzato per le applicazioni delle penali.</w:t>
            </w:r>
          </w:p>
          <w:p w14:paraId="29D79AD3" w14:textId="77777777" w:rsidR="004D48D2" w:rsidRPr="003D4EB3" w:rsidRDefault="004D48D2" w:rsidP="008911A2">
            <w:pPr>
              <w:widowControl/>
              <w:autoSpaceDE/>
              <w:autoSpaceDN/>
              <w:rPr>
                <w:lang w:val="it-IT"/>
              </w:rPr>
            </w:pPr>
            <w:r w:rsidRPr="003D4EB3">
              <w:rPr>
                <w:lang w:val="it-IT"/>
              </w:rPr>
              <w:t>È prevista anche una deroga all’art. 113-bis del Codice dei Contratti pubblici al fine di prevedere delle penali più aggressive in caso di ritardato adempimento.</w:t>
            </w:r>
          </w:p>
        </w:tc>
        <w:tc>
          <w:tcPr>
            <w:tcW w:w="3022" w:type="dxa"/>
          </w:tcPr>
          <w:p w14:paraId="4F5B4A46" w14:textId="77777777" w:rsidR="004D48D2" w:rsidRPr="003D4EB3" w:rsidRDefault="004D48D2" w:rsidP="008911A2">
            <w:pPr>
              <w:widowControl/>
              <w:autoSpaceDE/>
              <w:autoSpaceDN/>
              <w:rPr>
                <w:lang w:val="it-IT"/>
              </w:rPr>
            </w:pPr>
            <w:r w:rsidRPr="003D4EB3">
              <w:rPr>
                <w:lang w:val="it-IT"/>
              </w:rPr>
              <w:t>Corresponsione di un premio di accelerazione in assenza del verificarsi delle circostanze previste dalle norme.</w:t>
            </w:r>
          </w:p>
          <w:p w14:paraId="7C3D2D0D" w14:textId="77777777" w:rsidR="004D48D2" w:rsidRPr="003D4EB3" w:rsidRDefault="004D48D2" w:rsidP="008911A2">
            <w:pPr>
              <w:widowControl/>
              <w:autoSpaceDE/>
              <w:autoSpaceDN/>
              <w:rPr>
                <w:b/>
                <w:lang w:val="it-IT"/>
              </w:rPr>
            </w:pPr>
          </w:p>
          <w:p w14:paraId="51F652D1" w14:textId="77777777" w:rsidR="004D48D2" w:rsidRPr="003D4EB3" w:rsidRDefault="004D48D2" w:rsidP="008911A2">
            <w:pPr>
              <w:widowControl/>
              <w:autoSpaceDE/>
              <w:autoSpaceDN/>
              <w:rPr>
                <w:b/>
                <w:lang w:val="it-IT"/>
              </w:rPr>
            </w:pPr>
          </w:p>
          <w:p w14:paraId="71D408F2" w14:textId="77777777" w:rsidR="004D48D2" w:rsidRPr="003D4EB3" w:rsidRDefault="004D48D2" w:rsidP="008911A2">
            <w:pPr>
              <w:widowControl/>
              <w:autoSpaceDE/>
              <w:autoSpaceDN/>
              <w:rPr>
                <w:b/>
                <w:lang w:val="it-IT"/>
              </w:rPr>
            </w:pPr>
          </w:p>
          <w:p w14:paraId="6E6810C4" w14:textId="77777777" w:rsidR="004D48D2" w:rsidRPr="003D4EB3" w:rsidRDefault="004D48D2" w:rsidP="008911A2">
            <w:pPr>
              <w:widowControl/>
              <w:autoSpaceDE/>
              <w:autoSpaceDN/>
              <w:rPr>
                <w:b/>
                <w:lang w:val="it-IT"/>
              </w:rPr>
            </w:pPr>
          </w:p>
          <w:p w14:paraId="29581BED" w14:textId="77777777" w:rsidR="004D48D2" w:rsidRPr="003D4EB3" w:rsidRDefault="004D48D2" w:rsidP="008911A2">
            <w:pPr>
              <w:widowControl/>
              <w:autoSpaceDE/>
              <w:autoSpaceDN/>
              <w:rPr>
                <w:b/>
                <w:lang w:val="it-IT"/>
              </w:rPr>
            </w:pPr>
          </w:p>
          <w:p w14:paraId="34341C27" w14:textId="77777777" w:rsidR="004D48D2" w:rsidRPr="003D4EB3" w:rsidRDefault="004D48D2" w:rsidP="008911A2">
            <w:pPr>
              <w:widowControl/>
              <w:autoSpaceDE/>
              <w:autoSpaceDN/>
              <w:rPr>
                <w:lang w:val="it-IT"/>
              </w:rPr>
            </w:pPr>
            <w:r w:rsidRPr="003D4EB3">
              <w:rPr>
                <w:lang w:val="it-IT"/>
              </w:rPr>
              <w:t>Accelerazione, da parte dell’appaltatore, comportante una esecuzione dei lavori “</w:t>
            </w:r>
            <w:r w:rsidRPr="003D4EB3">
              <w:rPr>
                <w:i/>
                <w:lang w:val="it-IT"/>
              </w:rPr>
              <w:t>non a regola d’arte</w:t>
            </w:r>
            <w:r w:rsidRPr="003D4EB3">
              <w:rPr>
                <w:lang w:val="it-IT"/>
              </w:rPr>
              <w:t>”, al solo fine di conseguire il premio di accelerazione, con pregiudizio del corretto adempimento del contratto.</w:t>
            </w:r>
          </w:p>
        </w:tc>
        <w:tc>
          <w:tcPr>
            <w:tcW w:w="7721" w:type="dxa"/>
          </w:tcPr>
          <w:p w14:paraId="4E28E1D4" w14:textId="77777777" w:rsidR="004D48D2" w:rsidRPr="003D4EB3" w:rsidRDefault="004D48D2" w:rsidP="008911A2">
            <w:pPr>
              <w:widowControl/>
              <w:autoSpaceDE/>
              <w:autoSpaceDN/>
              <w:rPr>
                <w:lang w:val="it-IT"/>
              </w:rPr>
            </w:pPr>
            <w:r w:rsidRPr="003D4EB3">
              <w:rPr>
                <w:lang w:val="it-IT"/>
              </w:rPr>
              <w:t xml:space="preserve">Comunicazione tempestiva da parte dei soggetti deputati alla gestione del contratto (RUP, DL e DEC) del ricorrere delle circostanze connesse al riconoscimento del premio di accelerazione al fine di consentire le eventuali verifiche del RPCT o della struttura di </w:t>
            </w:r>
            <w:r w:rsidRPr="003D4EB3">
              <w:rPr>
                <w:i/>
                <w:lang w:val="it-IT"/>
              </w:rPr>
              <w:t>auditing</w:t>
            </w:r>
            <w:r w:rsidRPr="003D4EB3">
              <w:rPr>
                <w:lang w:val="it-IT"/>
              </w:rPr>
              <w:t>.</w:t>
            </w:r>
          </w:p>
          <w:p w14:paraId="116C5DCE" w14:textId="77777777" w:rsidR="004D48D2" w:rsidRPr="003D4EB3" w:rsidRDefault="004D48D2" w:rsidP="008911A2">
            <w:pPr>
              <w:widowControl/>
              <w:autoSpaceDE/>
              <w:autoSpaceDN/>
              <w:rPr>
                <w:b/>
                <w:lang w:val="it-IT"/>
              </w:rPr>
            </w:pPr>
          </w:p>
          <w:p w14:paraId="05576EDF" w14:textId="77777777" w:rsidR="004D48D2" w:rsidRPr="003D4EB3" w:rsidRDefault="004D48D2" w:rsidP="008911A2">
            <w:pPr>
              <w:widowControl/>
              <w:autoSpaceDE/>
              <w:autoSpaceDN/>
              <w:rPr>
                <w:lang w:val="it-IT"/>
              </w:rPr>
            </w:pPr>
            <w:r w:rsidRPr="003D4EB3">
              <w:rPr>
                <w:lang w:val="it-IT"/>
              </w:rPr>
              <w:t xml:space="preserve">Previsione di specifici indicatori di anomalia, anche sotto forma di </w:t>
            </w:r>
            <w:proofErr w:type="spellStart"/>
            <w:r w:rsidRPr="003D4EB3">
              <w:rPr>
                <w:i/>
                <w:lang w:val="it-IT"/>
              </w:rPr>
              <w:t>alert</w:t>
            </w:r>
            <w:proofErr w:type="spellEnd"/>
            <w:r w:rsidRPr="003D4EB3">
              <w:rPr>
                <w:i/>
                <w:lang w:val="it-IT"/>
              </w:rPr>
              <w:t xml:space="preserve"> </w:t>
            </w:r>
            <w:r w:rsidRPr="003D4EB3">
              <w:rPr>
                <w:lang w:val="it-IT"/>
              </w:rPr>
              <w:t>automatici nell’ambito di sistemi informatici in uso alle amministrazioni.</w:t>
            </w:r>
          </w:p>
          <w:p w14:paraId="06451BFC" w14:textId="77777777" w:rsidR="004D48D2" w:rsidRPr="003D4EB3" w:rsidRDefault="004D48D2" w:rsidP="008911A2">
            <w:pPr>
              <w:widowControl/>
              <w:autoSpaceDE/>
              <w:autoSpaceDN/>
              <w:rPr>
                <w:lang w:val="it-IT"/>
              </w:rPr>
            </w:pPr>
            <w:r w:rsidRPr="003D4EB3">
              <w:rPr>
                <w:lang w:val="it-IT"/>
              </w:rPr>
              <w:t>Al fine dell’individuazione degli indicatori di anomalia si suggerisce di tracciare gli affidamenti operati dalla stazione appaltante al fine di verificare la rispondenza delle tempistiche di avanzamento in ragione di quanto previsto dalle norme e dal contratto; ciò con l’obiettivo di procedere ad accertamenti nel caso di segnalato ricorso al premio di accelerazione.</w:t>
            </w:r>
          </w:p>
        </w:tc>
      </w:tr>
      <w:tr w:rsidR="004D48D2" w:rsidRPr="003D4EB3" w14:paraId="5843DB72" w14:textId="77777777" w:rsidTr="008911A2">
        <w:trPr>
          <w:trHeight w:val="1965"/>
        </w:trPr>
        <w:tc>
          <w:tcPr>
            <w:tcW w:w="3212" w:type="dxa"/>
            <w:tcBorders>
              <w:top w:val="nil"/>
            </w:tcBorders>
            <w:shd w:val="clear" w:color="auto" w:fill="2D74B5"/>
          </w:tcPr>
          <w:p w14:paraId="0FF64917" w14:textId="77777777" w:rsidR="004D48D2" w:rsidRPr="003D4EB3" w:rsidRDefault="004D48D2" w:rsidP="008911A2">
            <w:pPr>
              <w:widowControl/>
              <w:autoSpaceDE/>
              <w:autoSpaceDN/>
              <w:rPr>
                <w:lang w:val="it-IT"/>
              </w:rPr>
            </w:pPr>
          </w:p>
        </w:tc>
        <w:tc>
          <w:tcPr>
            <w:tcW w:w="3022" w:type="dxa"/>
          </w:tcPr>
          <w:p w14:paraId="765E9E51" w14:textId="77777777" w:rsidR="004D48D2" w:rsidRPr="003D4EB3" w:rsidRDefault="004D48D2" w:rsidP="008911A2">
            <w:pPr>
              <w:widowControl/>
              <w:autoSpaceDE/>
              <w:autoSpaceDN/>
              <w:rPr>
                <w:lang w:val="it-IT"/>
              </w:rPr>
            </w:pPr>
            <w:r w:rsidRPr="003D4EB3">
              <w:rPr>
                <w:lang w:val="it-IT"/>
              </w:rPr>
              <w:t>Accordi fraudolenti del RUP o del DL con l’appaltatore per attestare come concluse prestazioni ancora da ultimare al fine di evitare l’applicazione delle penali e/o riconoscere il premio di accelerazione.</w:t>
            </w:r>
          </w:p>
        </w:tc>
        <w:tc>
          <w:tcPr>
            <w:tcW w:w="7721" w:type="dxa"/>
          </w:tcPr>
          <w:p w14:paraId="26EC74A6" w14:textId="77777777" w:rsidR="004D48D2" w:rsidRPr="003D4EB3" w:rsidRDefault="004D48D2" w:rsidP="008911A2">
            <w:pPr>
              <w:widowControl/>
              <w:autoSpaceDE/>
              <w:autoSpaceDN/>
              <w:rPr>
                <w:lang w:val="it-IT"/>
              </w:rPr>
            </w:pPr>
            <w:r w:rsidRPr="003D4EB3">
              <w:rPr>
                <w:lang w:val="it-IT"/>
              </w:rPr>
              <w:t>Sensibilizzazione dei soggetti competenti (RUP, DL e DEC) preposti a mezzo della diffusione di circolari interne/linee guida comportamentali sugli adempimenti e la disciplina in ordine all’esecuzione della prestazione al fine del corretto riconoscimento del premio di accelerazione.</w:t>
            </w:r>
          </w:p>
        </w:tc>
      </w:tr>
      <w:tr w:rsidR="004D48D2" w:rsidRPr="003D4EB3" w14:paraId="68A0EA19" w14:textId="77777777" w:rsidTr="008911A2">
        <w:trPr>
          <w:trHeight w:val="1935"/>
        </w:trPr>
        <w:tc>
          <w:tcPr>
            <w:tcW w:w="3212" w:type="dxa"/>
            <w:tcBorders>
              <w:bottom w:val="nil"/>
            </w:tcBorders>
            <w:shd w:val="clear" w:color="auto" w:fill="2D74B5"/>
          </w:tcPr>
          <w:p w14:paraId="3E4687C5" w14:textId="77777777" w:rsidR="004D48D2" w:rsidRPr="003D4EB3" w:rsidRDefault="004D48D2" w:rsidP="008911A2">
            <w:pPr>
              <w:widowControl/>
              <w:autoSpaceDE/>
              <w:autoSpaceDN/>
              <w:rPr>
                <w:b/>
                <w:lang w:val="it-IT"/>
              </w:rPr>
            </w:pPr>
          </w:p>
          <w:p w14:paraId="32D364DD" w14:textId="77777777" w:rsidR="004D48D2" w:rsidRPr="003D4EB3" w:rsidRDefault="004D48D2" w:rsidP="008911A2">
            <w:pPr>
              <w:widowControl/>
              <w:autoSpaceDE/>
              <w:autoSpaceDN/>
              <w:rPr>
                <w:lang w:val="it-IT"/>
              </w:rPr>
            </w:pPr>
            <w:r w:rsidRPr="003D4EB3">
              <w:rPr>
                <w:lang w:val="it-IT"/>
              </w:rPr>
              <w:t xml:space="preserve">Art. 53, </w:t>
            </w:r>
            <w:proofErr w:type="spellStart"/>
            <w:r w:rsidRPr="003D4EB3">
              <w:rPr>
                <w:lang w:val="it-IT"/>
              </w:rPr>
              <w:t>d.l.</w:t>
            </w:r>
            <w:proofErr w:type="spellEnd"/>
            <w:r w:rsidRPr="003D4EB3">
              <w:rPr>
                <w:lang w:val="it-IT"/>
              </w:rPr>
              <w:t xml:space="preserve"> n. 77/2021</w:t>
            </w:r>
          </w:p>
          <w:p w14:paraId="72D13305" w14:textId="77777777" w:rsidR="004D48D2" w:rsidRPr="003D4EB3" w:rsidRDefault="004D48D2" w:rsidP="008911A2">
            <w:pPr>
              <w:widowControl/>
              <w:autoSpaceDE/>
              <w:autoSpaceDN/>
              <w:rPr>
                <w:b/>
                <w:lang w:val="it-IT"/>
              </w:rPr>
            </w:pPr>
          </w:p>
          <w:p w14:paraId="5E9F449F" w14:textId="77777777" w:rsidR="004D48D2" w:rsidRPr="003D4EB3" w:rsidRDefault="004D48D2" w:rsidP="008911A2">
            <w:pPr>
              <w:widowControl/>
              <w:autoSpaceDE/>
              <w:autoSpaceDN/>
              <w:rPr>
                <w:lang w:val="it-IT"/>
              </w:rPr>
            </w:pPr>
            <w:r w:rsidRPr="003D4EB3">
              <w:rPr>
                <w:lang w:val="it-IT"/>
              </w:rPr>
              <w:t xml:space="preserve">Semplificazione degli acquisti di beni e servizi informatici strumentali alla realizzazione del PNRR e in materia di procedure di </w:t>
            </w:r>
            <w:r w:rsidRPr="003D4EB3">
              <w:rPr>
                <w:i/>
                <w:lang w:val="it-IT"/>
              </w:rPr>
              <w:t xml:space="preserve">e-procurement </w:t>
            </w:r>
            <w:r w:rsidRPr="003D4EB3">
              <w:rPr>
                <w:lang w:val="it-IT"/>
              </w:rPr>
              <w:t>e acquisto di beni e servizi informatici.</w:t>
            </w:r>
          </w:p>
        </w:tc>
        <w:tc>
          <w:tcPr>
            <w:tcW w:w="3022" w:type="dxa"/>
          </w:tcPr>
          <w:p w14:paraId="1F1860B4" w14:textId="77777777" w:rsidR="004D48D2" w:rsidRPr="003D4EB3" w:rsidRDefault="004D48D2" w:rsidP="008911A2">
            <w:pPr>
              <w:widowControl/>
              <w:autoSpaceDE/>
              <w:autoSpaceDN/>
              <w:rPr>
                <w:lang w:val="it-IT"/>
              </w:rPr>
            </w:pPr>
            <w:r w:rsidRPr="003D4EB3">
              <w:rPr>
                <w:lang w:val="it-IT"/>
              </w:rPr>
              <w:t>Improprio ricorso alla procedura negoziata piuttosto che ad altra procedura di affidamento per favorire determinati operatori economici per gli appalti sopra soglia.</w:t>
            </w:r>
          </w:p>
        </w:tc>
        <w:tc>
          <w:tcPr>
            <w:tcW w:w="7721" w:type="dxa"/>
          </w:tcPr>
          <w:p w14:paraId="0542A42C" w14:textId="77777777" w:rsidR="004D48D2" w:rsidRPr="003D4EB3" w:rsidRDefault="004D48D2" w:rsidP="008911A2">
            <w:pPr>
              <w:widowControl/>
              <w:autoSpaceDE/>
              <w:autoSpaceDN/>
              <w:rPr>
                <w:lang w:val="it-IT"/>
              </w:rPr>
            </w:pPr>
            <w:r w:rsidRPr="003D4EB3">
              <w:rPr>
                <w:lang w:val="it-IT"/>
              </w:rPr>
              <w:t>Chiara e puntuale esplicitazione nella determina a contrarre o atto equivalente delle motivazioni che hanno indotto la S.A. a ricorrere alla procedura negoziata, anche per importi superiori alle soglie UE</w:t>
            </w:r>
          </w:p>
        </w:tc>
      </w:tr>
      <w:tr w:rsidR="004D48D2" w:rsidRPr="003D4EB3" w14:paraId="2C8ABCD2" w14:textId="77777777" w:rsidTr="008911A2">
        <w:trPr>
          <w:trHeight w:val="715"/>
        </w:trPr>
        <w:tc>
          <w:tcPr>
            <w:tcW w:w="3212" w:type="dxa"/>
            <w:tcBorders>
              <w:top w:val="nil"/>
            </w:tcBorders>
            <w:shd w:val="clear" w:color="auto" w:fill="2D74B5"/>
          </w:tcPr>
          <w:p w14:paraId="0041B12E" w14:textId="77777777" w:rsidR="004D48D2" w:rsidRPr="003D4EB3" w:rsidRDefault="004D48D2" w:rsidP="008911A2">
            <w:pPr>
              <w:widowControl/>
              <w:autoSpaceDE/>
              <w:autoSpaceDN/>
              <w:rPr>
                <w:lang w:val="it-IT"/>
              </w:rPr>
            </w:pPr>
            <w:r w:rsidRPr="003D4EB3">
              <w:rPr>
                <w:lang w:val="it-IT"/>
              </w:rPr>
              <w:t>In applicazione della norma in commento le stazioni appaltanti possono ricorrere alla procedura</w:t>
            </w:r>
          </w:p>
        </w:tc>
        <w:tc>
          <w:tcPr>
            <w:tcW w:w="3022" w:type="dxa"/>
          </w:tcPr>
          <w:p w14:paraId="7336DAFE" w14:textId="77777777" w:rsidR="004D48D2" w:rsidRPr="003D4EB3" w:rsidRDefault="004D48D2" w:rsidP="008911A2">
            <w:pPr>
              <w:widowControl/>
              <w:autoSpaceDE/>
              <w:autoSpaceDN/>
              <w:rPr>
                <w:lang w:val="it-IT"/>
              </w:rPr>
            </w:pPr>
            <w:r w:rsidRPr="003D4EB3">
              <w:rPr>
                <w:lang w:val="it-IT"/>
              </w:rPr>
              <w:t>Ricorso eccessivo e inappropriato alla procedura negoziata anche per esigenze che potrebbero</w:t>
            </w:r>
          </w:p>
        </w:tc>
        <w:tc>
          <w:tcPr>
            <w:tcW w:w="7721" w:type="dxa"/>
          </w:tcPr>
          <w:p w14:paraId="1A7C45B4" w14:textId="77777777" w:rsidR="004D48D2" w:rsidRPr="003D4EB3" w:rsidRDefault="004D48D2" w:rsidP="008911A2">
            <w:pPr>
              <w:widowControl/>
              <w:autoSpaceDE/>
              <w:autoSpaceDN/>
              <w:rPr>
                <w:lang w:val="it-IT"/>
              </w:rPr>
            </w:pPr>
          </w:p>
        </w:tc>
      </w:tr>
    </w:tbl>
    <w:p w14:paraId="617A8121" w14:textId="77777777" w:rsidR="004D48D2" w:rsidRPr="003D4EB3" w:rsidRDefault="004D48D2" w:rsidP="004D48D2">
      <w:pPr>
        <w:sectPr w:rsidR="004D48D2" w:rsidRPr="003D4EB3" w:rsidSect="00C44B1C">
          <w:pgSz w:w="16840" w:h="11910" w:orient="landscape"/>
          <w:pgMar w:top="880" w:right="1420" w:bottom="740" w:left="900" w:header="0" w:footer="713" w:gutter="0"/>
          <w:cols w:space="720"/>
        </w:sect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022"/>
        <w:gridCol w:w="7631"/>
      </w:tblGrid>
      <w:tr w:rsidR="004D48D2" w:rsidRPr="003D4EB3" w14:paraId="72891AD6" w14:textId="77777777" w:rsidTr="008911A2">
        <w:trPr>
          <w:trHeight w:val="3961"/>
        </w:trPr>
        <w:tc>
          <w:tcPr>
            <w:tcW w:w="3212" w:type="dxa"/>
            <w:tcBorders>
              <w:bottom w:val="nil"/>
            </w:tcBorders>
            <w:shd w:val="clear" w:color="auto" w:fill="2D74B5"/>
          </w:tcPr>
          <w:p w14:paraId="33B8BBB6" w14:textId="77777777" w:rsidR="004D48D2" w:rsidRPr="003D4EB3" w:rsidRDefault="004D48D2" w:rsidP="008911A2">
            <w:pPr>
              <w:widowControl/>
              <w:autoSpaceDE/>
              <w:autoSpaceDN/>
              <w:rPr>
                <w:lang w:val="it-IT"/>
              </w:rPr>
            </w:pPr>
            <w:r w:rsidRPr="003D4EB3">
              <w:rPr>
                <w:lang w:val="it-IT"/>
              </w:rPr>
              <w:t xml:space="preserve">negoziata anche per importi superiori alle soglie UE, per affidamenti aventi ad oggetto l’acquisto di beni e servizi informatici, in particolare basati sulla tecnologia </w:t>
            </w:r>
            <w:r w:rsidRPr="003D4EB3">
              <w:rPr>
                <w:i/>
                <w:lang w:val="it-IT"/>
              </w:rPr>
              <w:t>cloud</w:t>
            </w:r>
            <w:r w:rsidRPr="003D4EB3">
              <w:rPr>
                <w:lang w:val="it-IT"/>
              </w:rPr>
              <w:t>, nonché servizi di connettività, la cui determina a contrarre o altro atto di avvio del procedimento equivalente sia adottato entro il 31 dicembre 2026, anche ove ricorra la rapida obsolescenza tecnologica delle soluzioni disponibili tale da non consentire il ricorso ad altra procedura di affidamento.</w:t>
            </w:r>
          </w:p>
        </w:tc>
        <w:tc>
          <w:tcPr>
            <w:tcW w:w="3022" w:type="dxa"/>
            <w:tcBorders>
              <w:bottom w:val="nil"/>
            </w:tcBorders>
          </w:tcPr>
          <w:p w14:paraId="5105FE19" w14:textId="77777777" w:rsidR="004D48D2" w:rsidRPr="003D4EB3" w:rsidRDefault="004D48D2" w:rsidP="008911A2">
            <w:pPr>
              <w:widowControl/>
              <w:autoSpaceDE/>
              <w:autoSpaceDN/>
              <w:rPr>
                <w:lang w:val="it-IT"/>
              </w:rPr>
            </w:pPr>
            <w:r w:rsidRPr="003D4EB3">
              <w:rPr>
                <w:lang w:val="it-IT"/>
              </w:rPr>
              <w:t>essere assolte anche con i tempi delle gare aperte.</w:t>
            </w:r>
          </w:p>
        </w:tc>
        <w:tc>
          <w:tcPr>
            <w:tcW w:w="7631" w:type="dxa"/>
            <w:tcBorders>
              <w:bottom w:val="nil"/>
            </w:tcBorders>
          </w:tcPr>
          <w:p w14:paraId="6DF1DBC6" w14:textId="77777777" w:rsidR="004D48D2" w:rsidRPr="003D4EB3" w:rsidRDefault="004D48D2" w:rsidP="008911A2">
            <w:pPr>
              <w:widowControl/>
              <w:autoSpaceDE/>
              <w:autoSpaceDN/>
              <w:rPr>
                <w:lang w:val="it-IT"/>
              </w:rPr>
            </w:pPr>
            <w:r w:rsidRPr="003D4EB3">
              <w:rPr>
                <w:lang w:val="it-IT"/>
              </w:rPr>
              <w:t xml:space="preserve">analisi, in base al </w:t>
            </w:r>
            <w:r w:rsidRPr="003D4EB3">
              <w:rPr>
                <w:i/>
                <w:lang w:val="it-IT"/>
              </w:rPr>
              <w:t xml:space="preserve">Common procurement </w:t>
            </w:r>
            <w:proofErr w:type="spellStart"/>
            <w:r w:rsidRPr="003D4EB3">
              <w:rPr>
                <w:i/>
                <w:lang w:val="it-IT"/>
              </w:rPr>
              <w:t>vocabulary</w:t>
            </w:r>
            <w:proofErr w:type="spellEnd"/>
            <w:r w:rsidRPr="003D4EB3">
              <w:rPr>
                <w:i/>
                <w:lang w:val="it-IT"/>
              </w:rPr>
              <w:t xml:space="preserve"> </w:t>
            </w:r>
            <w:r w:rsidRPr="003D4EB3">
              <w:rPr>
                <w:lang w:val="it-IT"/>
              </w:rPr>
              <w:t>(CPV), degli affidamenti con procedure negoziate, sia avvalendosi di procedure informatiche a disposizione delle singole amministrazioni che del Portale dei dati aperti di ANAC. Ciò al fine di verificare da parte delle strutture e/o soggetti competenti (RUP + ufficio gare) se gli operatori economici aggiudicatari siano sempre i medesimi;</w:t>
            </w:r>
          </w:p>
        </w:tc>
      </w:tr>
      <w:tr w:rsidR="004D48D2" w:rsidRPr="003D4EB3" w14:paraId="43E4154F" w14:textId="77777777" w:rsidTr="008911A2">
        <w:trPr>
          <w:trHeight w:val="707"/>
        </w:trPr>
        <w:tc>
          <w:tcPr>
            <w:tcW w:w="3212" w:type="dxa"/>
            <w:tcBorders>
              <w:top w:val="nil"/>
              <w:bottom w:val="nil"/>
            </w:tcBorders>
            <w:shd w:val="clear" w:color="auto" w:fill="2D74B5"/>
          </w:tcPr>
          <w:p w14:paraId="10D770C4" w14:textId="77777777" w:rsidR="004D48D2" w:rsidRPr="003D4EB3" w:rsidRDefault="004D48D2" w:rsidP="008911A2">
            <w:pPr>
              <w:widowControl/>
              <w:autoSpaceDE/>
              <w:autoSpaceDN/>
              <w:rPr>
                <w:lang w:val="it-IT"/>
              </w:rPr>
            </w:pPr>
          </w:p>
        </w:tc>
        <w:tc>
          <w:tcPr>
            <w:tcW w:w="3022" w:type="dxa"/>
            <w:tcBorders>
              <w:top w:val="nil"/>
              <w:bottom w:val="nil"/>
            </w:tcBorders>
          </w:tcPr>
          <w:p w14:paraId="340DCDC5" w14:textId="77777777" w:rsidR="004D48D2" w:rsidRPr="003D4EB3" w:rsidRDefault="004D48D2" w:rsidP="008911A2">
            <w:pPr>
              <w:widowControl/>
              <w:autoSpaceDE/>
              <w:autoSpaceDN/>
              <w:rPr>
                <w:lang w:val="it-IT"/>
              </w:rPr>
            </w:pPr>
          </w:p>
        </w:tc>
        <w:tc>
          <w:tcPr>
            <w:tcW w:w="7631" w:type="dxa"/>
            <w:tcBorders>
              <w:top w:val="nil"/>
              <w:bottom w:val="nil"/>
            </w:tcBorders>
          </w:tcPr>
          <w:p w14:paraId="109BCBBF" w14:textId="77777777" w:rsidR="004D48D2" w:rsidRPr="003D4EB3" w:rsidRDefault="004D48D2" w:rsidP="008911A2">
            <w:pPr>
              <w:widowControl/>
              <w:autoSpaceDE/>
              <w:autoSpaceDN/>
              <w:rPr>
                <w:lang w:val="it-IT"/>
              </w:rPr>
            </w:pPr>
            <w:r w:rsidRPr="003D4EB3">
              <w:rPr>
                <w:lang w:val="it-IT"/>
              </w:rPr>
              <w:t>analisi delle procedure negoziate che fanno rilevare un numero di inviti ad operatori economici inferiore a 5;</w:t>
            </w:r>
          </w:p>
        </w:tc>
      </w:tr>
      <w:tr w:rsidR="004D48D2" w:rsidRPr="003D4EB3" w14:paraId="63BD823F" w14:textId="77777777" w:rsidTr="008911A2">
        <w:trPr>
          <w:trHeight w:val="1162"/>
        </w:trPr>
        <w:tc>
          <w:tcPr>
            <w:tcW w:w="3212" w:type="dxa"/>
            <w:tcBorders>
              <w:top w:val="nil"/>
              <w:bottom w:val="nil"/>
            </w:tcBorders>
            <w:shd w:val="clear" w:color="auto" w:fill="2D74B5"/>
          </w:tcPr>
          <w:p w14:paraId="20125703" w14:textId="77777777" w:rsidR="004D48D2" w:rsidRPr="003D4EB3" w:rsidRDefault="004D48D2" w:rsidP="008911A2">
            <w:pPr>
              <w:widowControl/>
              <w:autoSpaceDE/>
              <w:autoSpaceDN/>
              <w:rPr>
                <w:lang w:val="it-IT"/>
              </w:rPr>
            </w:pPr>
          </w:p>
        </w:tc>
        <w:tc>
          <w:tcPr>
            <w:tcW w:w="3022" w:type="dxa"/>
            <w:tcBorders>
              <w:top w:val="nil"/>
            </w:tcBorders>
          </w:tcPr>
          <w:p w14:paraId="7AA0C35C" w14:textId="77777777" w:rsidR="004D48D2" w:rsidRPr="003D4EB3" w:rsidRDefault="004D48D2" w:rsidP="008911A2">
            <w:pPr>
              <w:widowControl/>
              <w:autoSpaceDE/>
              <w:autoSpaceDN/>
              <w:rPr>
                <w:lang w:val="it-IT"/>
              </w:rPr>
            </w:pPr>
          </w:p>
        </w:tc>
        <w:tc>
          <w:tcPr>
            <w:tcW w:w="7631" w:type="dxa"/>
            <w:tcBorders>
              <w:top w:val="nil"/>
            </w:tcBorders>
          </w:tcPr>
          <w:p w14:paraId="0473A63F" w14:textId="77777777" w:rsidR="004D48D2" w:rsidRPr="003D4EB3" w:rsidRDefault="004D48D2" w:rsidP="008911A2">
            <w:pPr>
              <w:widowControl/>
              <w:autoSpaceDE/>
              <w:autoSpaceDN/>
              <w:rPr>
                <w:lang w:val="it-IT"/>
              </w:rPr>
            </w:pPr>
            <w:r w:rsidRPr="003D4EB3">
              <w:rPr>
                <w:lang w:val="it-IT"/>
              </w:rPr>
              <w:t>analisi degli operatori economici per verificare quelli che in un determinato arco temporale risultano essere stati con maggiore frequenza invitati e/o aggiudicatari.</w:t>
            </w:r>
          </w:p>
        </w:tc>
      </w:tr>
      <w:tr w:rsidR="004D48D2" w:rsidRPr="003D4EB3" w14:paraId="765751CB" w14:textId="77777777" w:rsidTr="008911A2">
        <w:trPr>
          <w:trHeight w:val="3113"/>
        </w:trPr>
        <w:tc>
          <w:tcPr>
            <w:tcW w:w="3212" w:type="dxa"/>
            <w:tcBorders>
              <w:top w:val="nil"/>
              <w:bottom w:val="nil"/>
            </w:tcBorders>
            <w:shd w:val="clear" w:color="auto" w:fill="2D74B5"/>
          </w:tcPr>
          <w:p w14:paraId="783A9009" w14:textId="77777777" w:rsidR="004D48D2" w:rsidRPr="003D4EB3" w:rsidRDefault="004D48D2" w:rsidP="008911A2">
            <w:pPr>
              <w:widowControl/>
              <w:autoSpaceDE/>
              <w:autoSpaceDN/>
              <w:rPr>
                <w:lang w:val="it-IT"/>
              </w:rPr>
            </w:pPr>
          </w:p>
        </w:tc>
        <w:tc>
          <w:tcPr>
            <w:tcW w:w="3022" w:type="dxa"/>
            <w:tcBorders>
              <w:bottom w:val="nil"/>
            </w:tcBorders>
          </w:tcPr>
          <w:p w14:paraId="79B4B1B6" w14:textId="77777777" w:rsidR="004D48D2" w:rsidRPr="003D4EB3" w:rsidRDefault="004D48D2" w:rsidP="008911A2">
            <w:pPr>
              <w:widowControl/>
              <w:autoSpaceDE/>
              <w:autoSpaceDN/>
              <w:rPr>
                <w:lang w:val="it-IT"/>
              </w:rPr>
            </w:pPr>
            <w:r w:rsidRPr="003D4EB3">
              <w:rPr>
                <w:lang w:val="it-IT"/>
              </w:rPr>
              <w:t>Mancata rotazione dei soggetti chiamati a partecipare alle procedure e formulazione dei relativi inviti ad un numero inferiore di soggetti rispetto a quello previsto dalla norma al fine di favorire determinati operatori economici a discapito di altri.</w:t>
            </w:r>
          </w:p>
        </w:tc>
        <w:tc>
          <w:tcPr>
            <w:tcW w:w="7631" w:type="dxa"/>
            <w:tcBorders>
              <w:bottom w:val="nil"/>
            </w:tcBorders>
          </w:tcPr>
          <w:p w14:paraId="24128A7B" w14:textId="77777777" w:rsidR="004D48D2" w:rsidRPr="003D4EB3" w:rsidRDefault="004D48D2" w:rsidP="008911A2">
            <w:pPr>
              <w:widowControl/>
              <w:autoSpaceDE/>
              <w:autoSpaceDN/>
              <w:rPr>
                <w:lang w:val="it-IT"/>
              </w:rPr>
            </w:pPr>
            <w:r w:rsidRPr="003D4EB3">
              <w:rPr>
                <w:lang w:val="it-IT"/>
              </w:rPr>
              <w:t xml:space="preserve">Verifica da parte dell’ente (RPCT o struttura di </w:t>
            </w:r>
            <w:r w:rsidRPr="003D4EB3">
              <w:rPr>
                <w:i/>
                <w:lang w:val="it-IT"/>
              </w:rPr>
              <w:t xml:space="preserve">auditing </w:t>
            </w:r>
            <w:r w:rsidRPr="003D4EB3">
              <w:rPr>
                <w:lang w:val="it-IT"/>
              </w:rPr>
              <w:t>appositamente individuata o altro soggetto all’interno della S.A.) circa la corretta attuazione del principio di rotazione degli inviti al fine di garantire la parità di trattamento degli operatori economici in termini di effettiva possibilità di partecipazione alle gare, verificando quelli che in un determinato arco temporale risultano essere stati con maggior frequenza invitati o aggiudicatari.</w:t>
            </w:r>
          </w:p>
        </w:tc>
      </w:tr>
      <w:tr w:rsidR="004D48D2" w:rsidRPr="003D4EB3" w14:paraId="37C5BBEF" w14:textId="77777777" w:rsidTr="008911A2">
        <w:trPr>
          <w:trHeight w:val="1205"/>
        </w:trPr>
        <w:tc>
          <w:tcPr>
            <w:tcW w:w="3212" w:type="dxa"/>
            <w:tcBorders>
              <w:top w:val="nil"/>
              <w:bottom w:val="nil"/>
            </w:tcBorders>
            <w:shd w:val="clear" w:color="auto" w:fill="2D74B5"/>
          </w:tcPr>
          <w:p w14:paraId="0EE9D308" w14:textId="77777777" w:rsidR="004D48D2" w:rsidRPr="003D4EB3" w:rsidRDefault="004D48D2" w:rsidP="008911A2">
            <w:pPr>
              <w:widowControl/>
              <w:autoSpaceDE/>
              <w:autoSpaceDN/>
              <w:rPr>
                <w:lang w:val="it-IT"/>
              </w:rPr>
            </w:pPr>
          </w:p>
        </w:tc>
        <w:tc>
          <w:tcPr>
            <w:tcW w:w="3022" w:type="dxa"/>
            <w:tcBorders>
              <w:top w:val="nil"/>
              <w:bottom w:val="nil"/>
            </w:tcBorders>
          </w:tcPr>
          <w:p w14:paraId="3B519E2B" w14:textId="77777777" w:rsidR="004D48D2" w:rsidRPr="003D4EB3" w:rsidRDefault="004D48D2" w:rsidP="008911A2">
            <w:pPr>
              <w:widowControl/>
              <w:autoSpaceDE/>
              <w:autoSpaceDN/>
              <w:rPr>
                <w:lang w:val="it-IT"/>
              </w:rPr>
            </w:pPr>
          </w:p>
        </w:tc>
        <w:tc>
          <w:tcPr>
            <w:tcW w:w="7631" w:type="dxa"/>
            <w:tcBorders>
              <w:top w:val="nil"/>
              <w:bottom w:val="nil"/>
            </w:tcBorders>
          </w:tcPr>
          <w:p w14:paraId="452D9D4E" w14:textId="77777777" w:rsidR="004D48D2" w:rsidRPr="003D4EB3" w:rsidRDefault="004D48D2" w:rsidP="008911A2">
            <w:pPr>
              <w:widowControl/>
              <w:autoSpaceDE/>
              <w:autoSpaceDN/>
              <w:rPr>
                <w:b/>
                <w:lang w:val="it-IT"/>
              </w:rPr>
            </w:pPr>
          </w:p>
          <w:p w14:paraId="01F89055" w14:textId="77777777" w:rsidR="004D48D2" w:rsidRPr="003D4EB3" w:rsidRDefault="004D48D2" w:rsidP="008911A2">
            <w:pPr>
              <w:widowControl/>
              <w:autoSpaceDE/>
              <w:autoSpaceDN/>
              <w:rPr>
                <w:lang w:val="it-IT"/>
              </w:rPr>
            </w:pPr>
            <w:r w:rsidRPr="003D4EB3">
              <w:rPr>
                <w:lang w:val="it-IT"/>
              </w:rPr>
              <w:t>Aggiornamento tempestivo degli elenchi di O.E. costituiti presso la SA. interessati a partecipare alle procedure indette dalla S.A.</w:t>
            </w:r>
          </w:p>
        </w:tc>
      </w:tr>
      <w:tr w:rsidR="004D48D2" w:rsidRPr="003D4EB3" w14:paraId="567EA018" w14:textId="77777777" w:rsidTr="008911A2">
        <w:trPr>
          <w:trHeight w:val="1102"/>
        </w:trPr>
        <w:tc>
          <w:tcPr>
            <w:tcW w:w="3212" w:type="dxa"/>
            <w:tcBorders>
              <w:top w:val="nil"/>
            </w:tcBorders>
            <w:shd w:val="clear" w:color="auto" w:fill="2D74B5"/>
          </w:tcPr>
          <w:p w14:paraId="37C79C5D" w14:textId="77777777" w:rsidR="004D48D2" w:rsidRPr="003D4EB3" w:rsidRDefault="004D48D2" w:rsidP="008911A2">
            <w:pPr>
              <w:widowControl/>
              <w:autoSpaceDE/>
              <w:autoSpaceDN/>
              <w:rPr>
                <w:lang w:val="it-IT"/>
              </w:rPr>
            </w:pPr>
          </w:p>
        </w:tc>
        <w:tc>
          <w:tcPr>
            <w:tcW w:w="3022" w:type="dxa"/>
            <w:tcBorders>
              <w:top w:val="nil"/>
            </w:tcBorders>
          </w:tcPr>
          <w:p w14:paraId="7FC672C6" w14:textId="77777777" w:rsidR="004D48D2" w:rsidRPr="003D4EB3" w:rsidRDefault="004D48D2" w:rsidP="008911A2">
            <w:pPr>
              <w:widowControl/>
              <w:autoSpaceDE/>
              <w:autoSpaceDN/>
              <w:rPr>
                <w:lang w:val="it-IT"/>
              </w:rPr>
            </w:pPr>
          </w:p>
        </w:tc>
        <w:tc>
          <w:tcPr>
            <w:tcW w:w="7631" w:type="dxa"/>
            <w:tcBorders>
              <w:top w:val="nil"/>
            </w:tcBorders>
          </w:tcPr>
          <w:p w14:paraId="7B2E11B5" w14:textId="77777777" w:rsidR="004D48D2" w:rsidRPr="003D4EB3" w:rsidRDefault="004D48D2" w:rsidP="008911A2">
            <w:pPr>
              <w:widowControl/>
              <w:autoSpaceDE/>
              <w:autoSpaceDN/>
              <w:rPr>
                <w:b/>
                <w:lang w:val="it-IT"/>
              </w:rPr>
            </w:pPr>
          </w:p>
          <w:p w14:paraId="316A4FA8" w14:textId="77777777" w:rsidR="004D48D2" w:rsidRPr="003D4EB3" w:rsidRDefault="004D48D2" w:rsidP="008911A2">
            <w:pPr>
              <w:widowControl/>
              <w:autoSpaceDE/>
              <w:autoSpaceDN/>
              <w:rPr>
                <w:lang w:val="it-IT"/>
              </w:rPr>
            </w:pPr>
            <w:r w:rsidRPr="003D4EB3">
              <w:rPr>
                <w:lang w:val="it-IT"/>
              </w:rPr>
              <w:t>Pubblicazione, all’esito delle procedure, dei nominativi degli operatori economici consultati dalla SA.</w:t>
            </w:r>
          </w:p>
        </w:tc>
      </w:tr>
    </w:tbl>
    <w:p w14:paraId="3AD49078" w14:textId="3F80D4C6" w:rsidR="00961C12" w:rsidRPr="00B65667" w:rsidRDefault="00961C12" w:rsidP="008D196A">
      <w:pPr>
        <w:jc w:val="center"/>
      </w:pPr>
    </w:p>
    <w:sectPr w:rsidR="00961C12" w:rsidRPr="00B65667" w:rsidSect="00C44B1C">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6B4"/>
    <w:multiLevelType w:val="hybridMultilevel"/>
    <w:tmpl w:val="9BA458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8E60575"/>
    <w:multiLevelType w:val="hybridMultilevel"/>
    <w:tmpl w:val="178A8DD8"/>
    <w:lvl w:ilvl="0" w:tplc="1A9E6BBA">
      <w:numFmt w:val="bullet"/>
      <w:lvlText w:val="-"/>
      <w:lvlJc w:val="left"/>
      <w:pPr>
        <w:ind w:left="825" w:hanging="361"/>
      </w:pPr>
      <w:rPr>
        <w:rFonts w:ascii="Trebuchet MS" w:eastAsia="Trebuchet MS" w:hAnsi="Trebuchet MS" w:cs="Trebuchet MS" w:hint="default"/>
        <w:color w:val="FFFFFF"/>
        <w:w w:val="100"/>
        <w:sz w:val="18"/>
        <w:szCs w:val="18"/>
        <w:lang w:val="it-IT" w:eastAsia="en-US" w:bidi="ar-SA"/>
      </w:rPr>
    </w:lvl>
    <w:lvl w:ilvl="1" w:tplc="35A69644">
      <w:numFmt w:val="bullet"/>
      <w:lvlText w:val="•"/>
      <w:lvlJc w:val="left"/>
      <w:pPr>
        <w:ind w:left="1058" w:hanging="361"/>
      </w:pPr>
      <w:rPr>
        <w:rFonts w:hint="default"/>
        <w:lang w:val="it-IT" w:eastAsia="en-US" w:bidi="ar-SA"/>
      </w:rPr>
    </w:lvl>
    <w:lvl w:ilvl="2" w:tplc="4C0A8FA8">
      <w:numFmt w:val="bullet"/>
      <w:lvlText w:val="•"/>
      <w:lvlJc w:val="left"/>
      <w:pPr>
        <w:ind w:left="1296" w:hanging="361"/>
      </w:pPr>
      <w:rPr>
        <w:rFonts w:hint="default"/>
        <w:lang w:val="it-IT" w:eastAsia="en-US" w:bidi="ar-SA"/>
      </w:rPr>
    </w:lvl>
    <w:lvl w:ilvl="3" w:tplc="9C88B014">
      <w:numFmt w:val="bullet"/>
      <w:lvlText w:val="•"/>
      <w:lvlJc w:val="left"/>
      <w:pPr>
        <w:ind w:left="1534" w:hanging="361"/>
      </w:pPr>
      <w:rPr>
        <w:rFonts w:hint="default"/>
        <w:lang w:val="it-IT" w:eastAsia="en-US" w:bidi="ar-SA"/>
      </w:rPr>
    </w:lvl>
    <w:lvl w:ilvl="4" w:tplc="704A54DC">
      <w:numFmt w:val="bullet"/>
      <w:lvlText w:val="•"/>
      <w:lvlJc w:val="left"/>
      <w:pPr>
        <w:ind w:left="1772" w:hanging="361"/>
      </w:pPr>
      <w:rPr>
        <w:rFonts w:hint="default"/>
        <w:lang w:val="it-IT" w:eastAsia="en-US" w:bidi="ar-SA"/>
      </w:rPr>
    </w:lvl>
    <w:lvl w:ilvl="5" w:tplc="F288E492">
      <w:numFmt w:val="bullet"/>
      <w:lvlText w:val="•"/>
      <w:lvlJc w:val="left"/>
      <w:pPr>
        <w:ind w:left="2011" w:hanging="361"/>
      </w:pPr>
      <w:rPr>
        <w:rFonts w:hint="default"/>
        <w:lang w:val="it-IT" w:eastAsia="en-US" w:bidi="ar-SA"/>
      </w:rPr>
    </w:lvl>
    <w:lvl w:ilvl="6" w:tplc="3ED6195E">
      <w:numFmt w:val="bullet"/>
      <w:lvlText w:val="•"/>
      <w:lvlJc w:val="left"/>
      <w:pPr>
        <w:ind w:left="2249" w:hanging="361"/>
      </w:pPr>
      <w:rPr>
        <w:rFonts w:hint="default"/>
        <w:lang w:val="it-IT" w:eastAsia="en-US" w:bidi="ar-SA"/>
      </w:rPr>
    </w:lvl>
    <w:lvl w:ilvl="7" w:tplc="7A48BA0C">
      <w:numFmt w:val="bullet"/>
      <w:lvlText w:val="•"/>
      <w:lvlJc w:val="left"/>
      <w:pPr>
        <w:ind w:left="2487" w:hanging="361"/>
      </w:pPr>
      <w:rPr>
        <w:rFonts w:hint="default"/>
        <w:lang w:val="it-IT" w:eastAsia="en-US" w:bidi="ar-SA"/>
      </w:rPr>
    </w:lvl>
    <w:lvl w:ilvl="8" w:tplc="F9421524">
      <w:numFmt w:val="bullet"/>
      <w:lvlText w:val="•"/>
      <w:lvlJc w:val="left"/>
      <w:pPr>
        <w:ind w:left="2725" w:hanging="361"/>
      </w:pPr>
      <w:rPr>
        <w:rFonts w:hint="default"/>
        <w:lang w:val="it-IT" w:eastAsia="en-US" w:bidi="ar-SA"/>
      </w:rPr>
    </w:lvl>
  </w:abstractNum>
  <w:abstractNum w:abstractNumId="2" w15:restartNumberingAfterBreak="0">
    <w:nsid w:val="6F77061F"/>
    <w:multiLevelType w:val="hybridMultilevel"/>
    <w:tmpl w:val="2CF4E362"/>
    <w:lvl w:ilvl="0" w:tplc="B85AD508">
      <w:numFmt w:val="bullet"/>
      <w:lvlText w:val="-"/>
      <w:lvlJc w:val="left"/>
      <w:pPr>
        <w:ind w:left="104" w:hanging="375"/>
      </w:pPr>
      <w:rPr>
        <w:rFonts w:ascii="Trebuchet MS" w:eastAsia="Trebuchet MS" w:hAnsi="Trebuchet MS" w:cs="Trebuchet MS" w:hint="default"/>
        <w:w w:val="100"/>
        <w:sz w:val="18"/>
        <w:szCs w:val="18"/>
        <w:lang w:val="it-IT" w:eastAsia="en-US" w:bidi="ar-SA"/>
      </w:rPr>
    </w:lvl>
    <w:lvl w:ilvl="1" w:tplc="19F40E24">
      <w:numFmt w:val="bullet"/>
      <w:lvlText w:val="•"/>
      <w:lvlJc w:val="left"/>
      <w:pPr>
        <w:ind w:left="391" w:hanging="375"/>
      </w:pPr>
      <w:rPr>
        <w:rFonts w:hint="default"/>
        <w:lang w:val="it-IT" w:eastAsia="en-US" w:bidi="ar-SA"/>
      </w:rPr>
    </w:lvl>
    <w:lvl w:ilvl="2" w:tplc="C3E6C1B6">
      <w:numFmt w:val="bullet"/>
      <w:lvlText w:val="•"/>
      <w:lvlJc w:val="left"/>
      <w:pPr>
        <w:ind w:left="682" w:hanging="375"/>
      </w:pPr>
      <w:rPr>
        <w:rFonts w:hint="default"/>
        <w:lang w:val="it-IT" w:eastAsia="en-US" w:bidi="ar-SA"/>
      </w:rPr>
    </w:lvl>
    <w:lvl w:ilvl="3" w:tplc="030E7F64">
      <w:numFmt w:val="bullet"/>
      <w:lvlText w:val="•"/>
      <w:lvlJc w:val="left"/>
      <w:pPr>
        <w:ind w:left="973" w:hanging="375"/>
      </w:pPr>
      <w:rPr>
        <w:rFonts w:hint="default"/>
        <w:lang w:val="it-IT" w:eastAsia="en-US" w:bidi="ar-SA"/>
      </w:rPr>
    </w:lvl>
    <w:lvl w:ilvl="4" w:tplc="BDEE0C10">
      <w:numFmt w:val="bullet"/>
      <w:lvlText w:val="•"/>
      <w:lvlJc w:val="left"/>
      <w:pPr>
        <w:ind w:left="1264" w:hanging="375"/>
      </w:pPr>
      <w:rPr>
        <w:rFonts w:hint="default"/>
        <w:lang w:val="it-IT" w:eastAsia="en-US" w:bidi="ar-SA"/>
      </w:rPr>
    </w:lvl>
    <w:lvl w:ilvl="5" w:tplc="3F88CEF6">
      <w:numFmt w:val="bullet"/>
      <w:lvlText w:val="•"/>
      <w:lvlJc w:val="left"/>
      <w:pPr>
        <w:ind w:left="1556" w:hanging="375"/>
      </w:pPr>
      <w:rPr>
        <w:rFonts w:hint="default"/>
        <w:lang w:val="it-IT" w:eastAsia="en-US" w:bidi="ar-SA"/>
      </w:rPr>
    </w:lvl>
    <w:lvl w:ilvl="6" w:tplc="70C84CCE">
      <w:numFmt w:val="bullet"/>
      <w:lvlText w:val="•"/>
      <w:lvlJc w:val="left"/>
      <w:pPr>
        <w:ind w:left="1847" w:hanging="375"/>
      </w:pPr>
      <w:rPr>
        <w:rFonts w:hint="default"/>
        <w:lang w:val="it-IT" w:eastAsia="en-US" w:bidi="ar-SA"/>
      </w:rPr>
    </w:lvl>
    <w:lvl w:ilvl="7" w:tplc="F5DA475E">
      <w:numFmt w:val="bullet"/>
      <w:lvlText w:val="•"/>
      <w:lvlJc w:val="left"/>
      <w:pPr>
        <w:ind w:left="2138" w:hanging="375"/>
      </w:pPr>
      <w:rPr>
        <w:rFonts w:hint="default"/>
        <w:lang w:val="it-IT" w:eastAsia="en-US" w:bidi="ar-SA"/>
      </w:rPr>
    </w:lvl>
    <w:lvl w:ilvl="8" w:tplc="6A7213B4">
      <w:numFmt w:val="bullet"/>
      <w:lvlText w:val="•"/>
      <w:lvlJc w:val="left"/>
      <w:pPr>
        <w:ind w:left="2429" w:hanging="375"/>
      </w:pPr>
      <w:rPr>
        <w:rFonts w:hint="default"/>
        <w:lang w:val="it-IT" w:eastAsia="en-US" w:bidi="ar-SA"/>
      </w:rPr>
    </w:lvl>
  </w:abstractNum>
  <w:abstractNum w:abstractNumId="3" w15:restartNumberingAfterBreak="0">
    <w:nsid w:val="710E74E1"/>
    <w:multiLevelType w:val="hybridMultilevel"/>
    <w:tmpl w:val="5A96B90C"/>
    <w:lvl w:ilvl="0" w:tplc="791A4BC6">
      <w:start w:val="1"/>
      <w:numFmt w:val="decimal"/>
      <w:lvlText w:val="%1)"/>
      <w:lvlJc w:val="left"/>
      <w:pPr>
        <w:ind w:left="108" w:hanging="255"/>
      </w:pPr>
      <w:rPr>
        <w:rFonts w:ascii="Trebuchet MS" w:eastAsia="Trebuchet MS" w:hAnsi="Trebuchet MS" w:cs="Trebuchet MS" w:hint="default"/>
        <w:w w:val="100"/>
        <w:sz w:val="18"/>
        <w:szCs w:val="18"/>
        <w:lang w:val="it-IT" w:eastAsia="en-US" w:bidi="ar-SA"/>
      </w:rPr>
    </w:lvl>
    <w:lvl w:ilvl="1" w:tplc="4E82595C">
      <w:numFmt w:val="bullet"/>
      <w:lvlText w:val="•"/>
      <w:lvlJc w:val="left"/>
      <w:pPr>
        <w:ind w:left="429" w:hanging="255"/>
      </w:pPr>
      <w:rPr>
        <w:rFonts w:hint="default"/>
        <w:lang w:val="it-IT" w:eastAsia="en-US" w:bidi="ar-SA"/>
      </w:rPr>
    </w:lvl>
    <w:lvl w:ilvl="2" w:tplc="8460B9E4">
      <w:numFmt w:val="bullet"/>
      <w:lvlText w:val="•"/>
      <w:lvlJc w:val="left"/>
      <w:pPr>
        <w:ind w:left="758" w:hanging="255"/>
      </w:pPr>
      <w:rPr>
        <w:rFonts w:hint="default"/>
        <w:lang w:val="it-IT" w:eastAsia="en-US" w:bidi="ar-SA"/>
      </w:rPr>
    </w:lvl>
    <w:lvl w:ilvl="3" w:tplc="0978C4AE">
      <w:numFmt w:val="bullet"/>
      <w:lvlText w:val="•"/>
      <w:lvlJc w:val="left"/>
      <w:pPr>
        <w:ind w:left="1087" w:hanging="255"/>
      </w:pPr>
      <w:rPr>
        <w:rFonts w:hint="default"/>
        <w:lang w:val="it-IT" w:eastAsia="en-US" w:bidi="ar-SA"/>
      </w:rPr>
    </w:lvl>
    <w:lvl w:ilvl="4" w:tplc="EF845048">
      <w:numFmt w:val="bullet"/>
      <w:lvlText w:val="•"/>
      <w:lvlJc w:val="left"/>
      <w:pPr>
        <w:ind w:left="1417" w:hanging="255"/>
      </w:pPr>
      <w:rPr>
        <w:rFonts w:hint="default"/>
        <w:lang w:val="it-IT" w:eastAsia="en-US" w:bidi="ar-SA"/>
      </w:rPr>
    </w:lvl>
    <w:lvl w:ilvl="5" w:tplc="722A2ACC">
      <w:numFmt w:val="bullet"/>
      <w:lvlText w:val="•"/>
      <w:lvlJc w:val="left"/>
      <w:pPr>
        <w:ind w:left="1746" w:hanging="255"/>
      </w:pPr>
      <w:rPr>
        <w:rFonts w:hint="default"/>
        <w:lang w:val="it-IT" w:eastAsia="en-US" w:bidi="ar-SA"/>
      </w:rPr>
    </w:lvl>
    <w:lvl w:ilvl="6" w:tplc="44B410C2">
      <w:numFmt w:val="bullet"/>
      <w:lvlText w:val="•"/>
      <w:lvlJc w:val="left"/>
      <w:pPr>
        <w:ind w:left="2075" w:hanging="255"/>
      </w:pPr>
      <w:rPr>
        <w:rFonts w:hint="default"/>
        <w:lang w:val="it-IT" w:eastAsia="en-US" w:bidi="ar-SA"/>
      </w:rPr>
    </w:lvl>
    <w:lvl w:ilvl="7" w:tplc="4420CFE8">
      <w:numFmt w:val="bullet"/>
      <w:lvlText w:val="•"/>
      <w:lvlJc w:val="left"/>
      <w:pPr>
        <w:ind w:left="2405" w:hanging="255"/>
      </w:pPr>
      <w:rPr>
        <w:rFonts w:hint="default"/>
        <w:lang w:val="it-IT" w:eastAsia="en-US" w:bidi="ar-SA"/>
      </w:rPr>
    </w:lvl>
    <w:lvl w:ilvl="8" w:tplc="A64897BC">
      <w:numFmt w:val="bullet"/>
      <w:lvlText w:val="•"/>
      <w:lvlJc w:val="left"/>
      <w:pPr>
        <w:ind w:left="2734" w:hanging="255"/>
      </w:pPr>
      <w:rPr>
        <w:rFonts w:hint="default"/>
        <w:lang w:val="it-IT" w:eastAsia="en-US" w:bidi="ar-SA"/>
      </w:rPr>
    </w:lvl>
  </w:abstractNum>
  <w:num w:numId="1" w16cid:durableId="1954556163">
    <w:abstractNumId w:val="0"/>
  </w:num>
  <w:num w:numId="2" w16cid:durableId="1036075806">
    <w:abstractNumId w:val="3"/>
  </w:num>
  <w:num w:numId="3" w16cid:durableId="55396526">
    <w:abstractNumId w:val="2"/>
  </w:num>
  <w:num w:numId="4" w16cid:durableId="146774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CB1"/>
    <w:rsid w:val="000D227E"/>
    <w:rsid w:val="00100B60"/>
    <w:rsid w:val="002A03DF"/>
    <w:rsid w:val="00324908"/>
    <w:rsid w:val="003F3C09"/>
    <w:rsid w:val="004D48D2"/>
    <w:rsid w:val="005406E9"/>
    <w:rsid w:val="005A44A7"/>
    <w:rsid w:val="008D196A"/>
    <w:rsid w:val="00913766"/>
    <w:rsid w:val="00961C12"/>
    <w:rsid w:val="00B65667"/>
    <w:rsid w:val="00C44B1C"/>
    <w:rsid w:val="00E82CB1"/>
    <w:rsid w:val="00FE1B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1681"/>
  <w15:chartTrackingRefBased/>
  <w15:docId w15:val="{0F8F3E5F-1243-4B7B-9F92-F7520D83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831">
    <w:name w:val="stile831"/>
    <w:rsid w:val="008D196A"/>
    <w:rPr>
      <w:color w:val="990000"/>
    </w:rPr>
  </w:style>
  <w:style w:type="character" w:styleId="Collegamentoipertestuale">
    <w:name w:val="Hyperlink"/>
    <w:uiPriority w:val="99"/>
    <w:unhideWhenUsed/>
    <w:rsid w:val="004D48D2"/>
    <w:rPr>
      <w:color w:val="0000FF"/>
      <w:u w:val="single"/>
    </w:rPr>
  </w:style>
  <w:style w:type="table" w:customStyle="1" w:styleId="TableNormal">
    <w:name w:val="Table Normal"/>
    <w:uiPriority w:val="2"/>
    <w:semiHidden/>
    <w:unhideWhenUsed/>
    <w:qFormat/>
    <w:rsid w:val="004D48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ormattiva.it/uri-res/N2Ls?urn%3Anir%3Astato%3Adecreto.legislativo%3A2016%3B50~art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rmattiva.it/uri-res/N2Ls?urn%3Anir%3Astato%3Adecreto.legislativo%3A2016%3B50~art6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CB002-8E96-4F9D-9ADD-01B95CE5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3578</Words>
  <Characters>20401</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enrica olla</dc:creator>
  <cp:keywords/>
  <dc:description/>
  <cp:lastModifiedBy>Protocollo</cp:lastModifiedBy>
  <cp:revision>2</cp:revision>
  <dcterms:created xsi:type="dcterms:W3CDTF">2026-02-25T11:01:00Z</dcterms:created>
  <dcterms:modified xsi:type="dcterms:W3CDTF">2026-02-25T11:01:00Z</dcterms:modified>
</cp:coreProperties>
</file>